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Youth Conference Resources for Central Coast Families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Families, students and allies are preparing to gather at Watsonville High School for a free LGBTQ+ youth conference built around community, practical support and celebration. With separate tracks for young people, adults and primary-age children, the event offers Central Coast families a welcoming way to learn, connect and feel less alone.</w:t>
      </w:r>
      <w:r/>
    </w:p>
    <w:p>
      <w:pPr>
        <w:pStyle w:val="Heading2"/>
      </w:pPr>
      <w:r>
        <w:t>Essential Takeaways</w:t>
      </w:r>
      <w:r/>
      <w:r/>
    </w:p>
    <w:p>
      <w:pPr>
        <w:pStyle w:val="ListBullet"/>
        <w:spacing w:line="240" w:lineRule="auto"/>
        <w:ind w:left="720"/>
      </w:pPr>
      <w:r/>
      <w:r>
        <w:rPr>
          <w:b/>
        </w:rPr>
        <w:t>Three programmes in one day:</w:t>
      </w:r>
      <w:r>
        <w:t xml:space="preserve"> Separate sessions support secondary students, adults and younger children.</w:t>
      </w:r>
      <w:r/>
    </w:p>
    <w:p>
      <w:pPr>
        <w:pStyle w:val="ListBullet"/>
        <w:spacing w:line="240" w:lineRule="auto"/>
        <w:ind w:left="720"/>
      </w:pPr>
      <w:r/>
      <w:r>
        <w:rPr>
          <w:b/>
        </w:rPr>
        <w:t>Free and regional:</w:t>
      </w:r>
      <w:r>
        <w:t xml:space="preserve"> The event welcomes participants from Santa Cruz, Monterey and San Benito counties.</w:t>
      </w:r>
      <w:r/>
    </w:p>
    <w:p>
      <w:pPr>
        <w:pStyle w:val="ListBullet"/>
        <w:spacing w:line="240" w:lineRule="auto"/>
        <w:ind w:left="720"/>
      </w:pPr>
      <w:r/>
      <w:r>
        <w:rPr>
          <w:b/>
        </w:rPr>
        <w:t>Youth-led learning:</w:t>
      </w:r>
      <w:r>
        <w:t xml:space="preserve"> Students can join workshops, identity-based groups and a resource fair.</w:t>
      </w:r>
      <w:r/>
    </w:p>
    <w:p>
      <w:pPr>
        <w:pStyle w:val="ListBullet"/>
        <w:spacing w:line="240" w:lineRule="auto"/>
        <w:ind w:left="720"/>
      </w:pPr>
      <w:r/>
      <w:r>
        <w:rPr>
          <w:b/>
        </w:rPr>
        <w:t>Support for adults:</w:t>
      </w:r>
      <w:r>
        <w:t xml:space="preserve"> Parents, educators and allies can explore gender, legal and health topics.</w:t>
      </w:r>
      <w:r/>
    </w:p>
    <w:p>
      <w:pPr>
        <w:pStyle w:val="ListBullet"/>
        <w:spacing w:line="240" w:lineRule="auto"/>
        <w:ind w:left="720"/>
      </w:pPr>
      <w:r/>
      <w:r>
        <w:rPr>
          <w:b/>
        </w:rPr>
        <w:t>A gentler first step:</w:t>
      </w:r>
      <w:r>
        <w:t xml:space="preserve"> Families can attend together while choosing age-appropriate activities.</w:t>
      </w:r>
      <w:r/>
      <w:r/>
    </w:p>
    <w:p>
      <w:pPr>
        <w:pStyle w:val="Heading2"/>
      </w:pPr>
      <w:r>
        <w:t>A gathering designed to feel welcoming</w:t>
      </w:r>
      <w:r/>
    </w:p>
    <w:p>
      <w:r/>
      <w:r>
        <w:t>The most striking thing about the Rainbow Conference is its deliberate warmth. Rather than treating LGBTQ+ support as a stern or purely political subject, organisers are making room for breakfast, creative activities, shared meals and the simple relief of meeting people who understand.</w:t>
      </w:r>
      <w:r/>
    </w:p>
    <w:p>
      <w:r/>
      <w:r>
        <w:t>The 2026 event is scheduled for 9.30am to 2pm at Watsonville High School. It brings together hundreds of young people, families, educators and allies from across the Central Coast, with schools and community groups helping make attendance easier. QYLA's event information also highlights the practical role of community participation and sponsorship in keeping this kind of gathering accessible.</w:t>
      </w:r>
      <w:r/>
    </w:p>
    <w:p>
      <w:r/>
      <w:r>
        <w:t>For families attending for the first time, that mix of structure and informality matters. There are workshops to guide the day, but also plenty of opportunities for a quiet conversation, a new friendship or a reassuring sense that you're not navigating everything on your own.</w:t>
      </w:r>
      <w:r/>
    </w:p>
    <w:p>
      <w:pPr>
        <w:pStyle w:val="Heading2"/>
      </w:pPr>
      <w:r>
        <w:t>Three age groups, three ways to take part</w:t>
      </w:r>
      <w:r/>
    </w:p>
    <w:p>
      <w:r/>
      <w:r>
        <w:t>The conference runs three simultaneous programmes. The Queer, Trans and Allied Student Summit is aimed at middle and high school pupils, while the Understanding Gender Conference is designed for parents, guardians, teachers and adult allies. Younger children can attend Rainbow Glitter Kids with their families.</w:t>
      </w:r>
      <w:r/>
    </w:p>
    <w:p>
      <w:r/>
      <w:r>
        <w:t>That arrangement gives households flexibility. A teenager might want to join a student-led workshop, while a parent attends a session on gender or legal rights. Meanwhile, younger siblings aren't simply left on the sidelines. Family-focused activities give them a space that feels playful rather than overly grown-up.</w:t>
      </w:r>
      <w:r/>
    </w:p>
    <w:p>
      <w:r/>
      <w:r>
        <w:t>This age-specific approach reflects a wider trend in LGBTQ+ community events. Youth gatherings often work best when children can see peers like themselves, while adults need clear, practical information they can take home. Events listed by LGBTQ+ organisations and family publications commonly combine social time with education, suggesting that support is most useful when it feels both human and actionable.</w:t>
      </w:r>
      <w:r/>
    </w:p>
    <w:p>
      <w:pPr>
        <w:pStyle w:val="Heading2"/>
      </w:pPr>
      <w:r>
        <w:t>What students can expect on the day</w:t>
      </w:r>
      <w:r/>
    </w:p>
    <w:p>
      <w:r/>
      <w:r>
        <w:t>The student programme begins with breakfast and a resource fair, followed by a welcome, keynote address, identity-based caucuses and two workshop sessions. Topics are expected to include mental health, consent and healthy relationships, with some sessions led by students and others delivered by adults or mixed teams.</w:t>
      </w:r>
      <w:r/>
    </w:p>
    <w:p>
      <w:r/>
      <w:r>
        <w:t>There is also room for fun, including pumpkin painting. That may sound like a small detail, but it helps keep the day from feeling like a series of serious lectures. A colourful table, a shared lunch and a chance to make something can be exactly what helps a nervous attendee settle in.</w:t>
      </w:r>
      <w:r/>
    </w:p>
    <w:p>
      <w:r/>
      <w:r>
        <w:t>The student theme, "Wildflower Masqueerade", uses the image of wildflowers growing through concrete to represent resilience and self-expression. It's a vivid metaphor, and one that seems especially suited to a gathering where young people are encouraged not just to cope, but to be visible and creative.</w:t>
      </w:r>
      <w:r/>
    </w:p>
    <w:p>
      <w:pPr>
        <w:pStyle w:val="Heading2"/>
      </w:pPr>
      <w:r>
        <w:t>Why adult support remains central</w:t>
      </w:r>
      <w:r/>
    </w:p>
    <w:p>
      <w:r/>
      <w:r>
        <w:t>The adult track is more than a parallel conference for parents. It recognises that young people often need informed, confident support at home and in school, especially when families are still learning the language around identity and inclusion.</w:t>
      </w:r>
      <w:r/>
    </w:p>
    <w:p>
      <w:r/>
      <w:r>
        <w:t>Presenters are scheduled to cover legal matters affecting LGBTQ+ people and transgender healthcare, with Spanish interpretation available. Those practical details could be particularly valuable for adults who want to help but aren't sure where to begin. A good workshop can turn vague concern into specific next steps, from listening more carefully to finding reliable local services.</w:t>
      </w:r>
      <w:r/>
    </w:p>
    <w:p>
      <w:r/>
      <w:r>
        <w:t>Parents may also appreciate being able to learn without putting a young person on the spot. The best support often starts quietly, with an adult understanding what questions to ask, which assumptions to avoid and how to make home feel safer.</w:t>
      </w:r>
      <w:r/>
    </w:p>
    <w:p>
      <w:pPr>
        <w:pStyle w:val="Heading2"/>
      </w:pPr>
      <w:r>
        <w:t>A regional response to isolation</w:t>
      </w:r>
      <w:r/>
    </w:p>
    <w:p>
      <w:r/>
      <w:r>
        <w:t>For students in smaller schools or less diverse communities, meeting openly LGBTQ+ peers from neighbouring counties can be transformative. Even if a pupil knows only a few queer or trans young people locally, a regional gathering can quickly make their world feel larger.</w:t>
      </w:r>
      <w:r/>
    </w:p>
    <w:p>
      <w:r/>
      <w:r>
        <w:t>That wider network is one reason the conference carries significance beyond a single Saturday. It allows students to compare what works in their schools, discover resources and share ideas about creating more welcoming environments. QYLA's location and event information points to the importance of bringing communities together in a clear, accessible setting.</w:t>
      </w:r>
      <w:r/>
    </w:p>
    <w:p>
      <w:r/>
      <w:r>
        <w:t>There is also a quiet act of reassurance in seeing the event supported by schools, education organisations and community sponsors. It tells young people that their presence isn't a problem to be managed. It's part of the community, and worth celebrating.</w:t>
      </w:r>
      <w:r/>
    </w:p>
    <w:p>
      <w:r/>
      <w:r>
        <w:t>Check the official Safe Schools Project information before travelling, particularly for registration details, programme updates and transport arrangements. Families can also choose the track that best suits their needs rather than trying to do everything at once.</w:t>
      </w:r>
      <w:r/>
    </w:p>
    <w:p>
      <w:r/>
      <w:r>
        <w:t>It's a small but meaningful step towards making LGBTQ+ support feel local, practical and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[6]</w:t>
        </w:r>
      </w:hyperlink>
      <w:r>
        <w:t xml:space="preserve">- Paragraph 2: </w:t>
      </w:r>
      <w:hyperlink r:id="rId12">
        <w:r>
          <w:rPr>
            <w:color w:val="0000EE"/>
            <w:u w:val="single"/>
          </w:rPr>
          <w:t>[7]</w:t>
        </w:r>
      </w:hyperlink>
      <w:r>
        <w:t xml:space="preserve">, </w:t>
      </w:r>
      <w:hyperlink r:id="rId11">
        <w:r>
          <w:rPr>
            <w:color w:val="0000EE"/>
            <w:u w:val="single"/>
          </w:rPr>
          <w:t>[6]</w:t>
        </w:r>
      </w:hyperlink>
      <w:r>
        <w:t xml:space="preserve">- Paragraph 3: </w:t>
      </w:r>
      <w:hyperlink r:id="rId13">
        <w:r>
          <w:rPr>
            <w:color w:val="0000EE"/>
            <w:u w:val="single"/>
          </w:rPr>
          <w:t>[3]</w:t>
        </w:r>
      </w:hyperlink>
      <w:r>
        <w:t xml:space="preserve">, </w:t>
      </w:r>
      <w:hyperlink r:id="rId14">
        <w:r>
          <w:rPr>
            <w:color w:val="0000EE"/>
            <w:u w:val="single"/>
          </w:rPr>
          <w:t>[5]</w:t>
        </w:r>
      </w:hyperlink>
      <w:r>
        <w:t xml:space="preserve">- Paragraph 4: </w:t>
      </w:r>
      <w:hyperlink r:id="rId15">
        <w:r>
          <w:rPr>
            <w:color w:val="0000EE"/>
            <w:u w:val="single"/>
          </w:rPr>
          <w:t>[2]</w:t>
        </w:r>
      </w:hyperlink>
      <w:r>
        <w:t xml:space="preserve">, </w:t>
      </w:r>
      <w:hyperlink r:id="rId10">
        <w:r>
          <w:rPr>
            <w:color w:val="0000EE"/>
            <w:u w:val="single"/>
          </w:rPr>
          <w:t>[4]</w:t>
        </w:r>
      </w:hyperlink>
      <w:r>
        <w:t xml:space="preserve">- Paragraph 5: </w:t>
      </w:r>
      <w:hyperlink r:id="rId13">
        <w:r>
          <w:rPr>
            <w:color w:val="0000EE"/>
            <w:u w:val="single"/>
          </w:rPr>
          <w:t>[3]</w:t>
        </w:r>
      </w:hyperlink>
      <w:r>
        <w:t xml:space="preserve">, </w:t>
      </w:r>
      <w:hyperlink r:id="rId14">
        <w:r>
          <w:rPr>
            <w:color w:val="0000EE"/>
            <w:u w:val="single"/>
          </w:rPr>
          <w:t>[5]</w:t>
        </w:r>
      </w:hyperlink>
      <w:r>
        <w:t xml:space="preserve">- Paragraph 6: </w:t>
      </w:r>
      <w:hyperlink r:id="rId10">
        <w:r>
          <w:rPr>
            <w:color w:val="0000EE"/>
            <w:u w:val="single"/>
          </w:rPr>
          <w:t>[4]</w:t>
        </w:r>
      </w:hyperlink>
      <w:r>
        <w:t xml:space="preserve">, </w:t>
      </w:r>
      <w:hyperlink r:id="rId12">
        <w:r>
          <w:rPr>
            <w:color w:val="0000EE"/>
            <w:u w:val="single"/>
          </w:rPr>
          <w:t>[7]</w:t>
        </w:r>
      </w:hyperlink>
      <w:r>
        <w:t xml:space="preserve">- Paragraph 7: </w:t>
      </w:r>
      <w:hyperlink r:id="rId11">
        <w:r>
          <w:rPr>
            <w:color w:val="0000EE"/>
            <w:u w:val="single"/>
          </w:rPr>
          <w:t>[6]</w:t>
        </w:r>
      </w:hyperlink>
      <w:r>
        <w:t xml:space="preserve">, </w:t>
      </w:r>
      <w:hyperlink r:id="rId12">
        <w:r>
          <w:rPr>
            <w:color w:val="0000EE"/>
            <w:u w:val="single"/>
          </w:rPr>
          <w:t>[7]</w:t>
        </w:r>
      </w:hyperlink>
      <w:r>
        <w:t xml:space="preserve">- Paragraph 8: </w:t>
      </w:r>
      <w:hyperlink r:id="rId15">
        <w:r>
          <w:rPr>
            <w:color w:val="0000EE"/>
            <w:u w:val="single"/>
          </w:rPr>
          <w:t>[2]</w:t>
        </w:r>
      </w:hyperlink>
      <w:r>
        <w:t xml:space="preserve">, </w:t>
      </w:r>
      <w:hyperlink r:id="rId13">
        <w:r>
          <w:rPr>
            <w:color w:val="0000EE"/>
            <w:u w:val="single"/>
          </w:rPr>
          <w:t>[3]</w:t>
        </w:r>
      </w:hyperlink>
      <w:r>
        <w:t xml:space="preserve">- Paragraph 9: </w:t>
      </w:r>
      <w:hyperlink r:id="rId10">
        <w:r>
          <w:rPr>
            <w:color w:val="0000EE"/>
            <w:u w:val="single"/>
          </w:rPr>
          <w:t>[4]</w:t>
        </w:r>
      </w:hyperlink>
      <w:r>
        <w:t xml:space="preserve">, </w:t>
      </w:r>
      <w:hyperlink r:id="rId11">
        <w:r>
          <w:rPr>
            <w:color w:val="0000EE"/>
            <w:u w:val="single"/>
          </w:rPr>
          <w:t>[6]</w:t>
        </w:r>
      </w:hyperlink>
      <w:r>
        <w:t xml:space="preserve">- Paragraph 10: </w:t>
      </w:r>
      <w:hyperlink r:id="rId13">
        <w:r>
          <w:rPr>
            <w:color w:val="0000EE"/>
            <w:u w:val="single"/>
          </w:rPr>
          <w:t>[3]</w:t>
        </w:r>
      </w:hyperlink>
      <w:r>
        <w:t xml:space="preserve">, </w:t>
      </w:r>
      <w:hyperlink r:id="rId12">
        <w:r>
          <w:rPr>
            <w:color w:val="0000EE"/>
            <w:u w:val="single"/>
          </w:rPr>
          <w:t>[7]</w:t>
        </w:r>
      </w:hyperlink>
      <w:r>
        <w:t xml:space="preserve">- Paragraph 11: </w:t>
      </w:r>
      <w:hyperlink r:id="rId15">
        <w:r>
          <w:rPr>
            <w:color w:val="0000EE"/>
            <w:u w:val="single"/>
          </w:rPr>
          <w:t>[2]</w:t>
        </w:r>
      </w:hyperlink>
      <w:r>
        <w:t xml:space="preserve">, </w:t>
      </w:r>
      <w:hyperlink r:id="rId14">
        <w:r>
          <w:rPr>
            <w:color w:val="0000EE"/>
            <w:u w:val="single"/>
          </w:rPr>
          <w:t>[5]</w:t>
        </w:r>
      </w:hyperlink>
      <w:r>
        <w:t xml:space="preserve">- Paragraph 12: </w:t>
      </w:r>
      <w:hyperlink r:id="rId13">
        <w:r>
          <w:rPr>
            <w:color w:val="0000EE"/>
            <w:u w:val="single"/>
          </w:rPr>
          <w:t>[3]</w:t>
        </w:r>
      </w:hyperlink>
      <w:r>
        <w:t xml:space="preserve">, </w:t>
      </w:r>
      <w:hyperlink r:id="rId10">
        <w:r>
          <w:rPr>
            <w:color w:val="0000EE"/>
            <w:u w:val="single"/>
          </w:rPr>
          <w:t>[4]</w:t>
        </w:r>
      </w:hyperlink>
      <w:r>
        <w:t xml:space="preserve">- Paragraph 13: </w:t>
      </w:r>
      <w:hyperlink r:id="rId11">
        <w:r>
          <w:rPr>
            <w:color w:val="0000EE"/>
            <w:u w:val="single"/>
          </w:rPr>
          <w:t>[6]</w:t>
        </w:r>
      </w:hyperlink>
      <w:r>
        <w:t xml:space="preserve">, </w:t>
      </w:r>
      <w:hyperlink r:id="rId12">
        <w:r>
          <w:rPr>
            <w:color w:val="0000EE"/>
            <w:u w:val="single"/>
          </w:rPr>
          <w:t>[7]</w:t>
        </w:r>
      </w:hyperlink>
      <w:r>
        <w:t xml:space="preserve">- Paragraph 14: </w:t>
      </w:r>
      <w:hyperlink r:id="rId10">
        <w:r>
          <w:rPr>
            <w:color w:val="0000EE"/>
            <w:u w:val="single"/>
          </w:rPr>
          <w:t>[4]</w:t>
        </w:r>
      </w:hyperlink>
      <w:r>
        <w:t xml:space="preserve">, </w:t>
      </w:r>
      <w:hyperlink r:id="rId14">
        <w:r>
          <w:rPr>
            <w:color w:val="0000EE"/>
            <w:u w:val="single"/>
          </w:rPr>
          <w:t>[5]</w:t>
        </w:r>
      </w:hyperlink>
      <w:r>
        <w:t xml:space="preserve">- Paragraph 15: </w:t>
      </w:r>
      <w:hyperlink r:id="rId13">
        <w:r>
          <w:rPr>
            <w:color w:val="0000EE"/>
            <w:u w:val="single"/>
          </w:rPr>
          <w:t>[3]</w:t>
        </w:r>
      </w:hyperlink>
      <w:r>
        <w:t xml:space="preserve">, </w:t>
      </w:r>
      <w:hyperlink r:id="rId11">
        <w:r>
          <w:rPr>
            <w:color w:val="0000EE"/>
            <w:u w:val="single"/>
          </w:rPr>
          <w:t>[6]</w:t>
        </w:r>
      </w:hyperlink>
      <w:r>
        <w:t xml:space="preserve">- Paragraph 16: </w:t>
      </w:r>
      <w:hyperlink r:id="rId14">
        <w:r>
          <w:rPr>
            <w:color w:val="0000EE"/>
            <w:u w:val="single"/>
          </w:rPr>
          <w:t>[5]</w:t>
        </w:r>
      </w:hyperlink>
      <w:r>
        <w:t xml:space="preserve">, </w:t>
      </w:r>
      <w:hyperlink r:id="rId12">
        <w:r>
          <w:rPr>
            <w:color w:val="0000EE"/>
            <w:u w:val="single"/>
          </w:rPr>
          <w:t>[7]</w:t>
        </w:r>
      </w:hyperlink>
      <w:r>
        <w:t xml:space="preserve">- Paragraph 17: </w:t>
      </w:r>
      <w:hyperlink r:id="rId10">
        <w:r>
          <w:rPr>
            <w:color w:val="0000EE"/>
            <w:u w:val="single"/>
          </w:rPr>
          <w:t>[4]</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https://pajaronian.com/rainbow-conference-brings-lgbtq-youth-families-together/</w:t>
        </w:r>
      </w:hyperlink>
      <w:r>
        <w:t xml:space="preserve"> - Please view link - unable to able to access data</w:t>
      </w:r>
      <w:r/>
    </w:p>
    <w:p>
      <w:pPr>
        <w:pStyle w:val="ListNumber"/>
        <w:spacing w:line="240" w:lineRule="auto"/>
        <w:ind w:left="720"/>
      </w:pPr>
      <w:r/>
      <w:hyperlink r:id="rId15">
        <w:r>
          <w:rPr>
            <w:color w:val="0000EE"/>
            <w:u w:val="single"/>
          </w:rPr>
          <w:t>https://www.gaypinkspots.com/event/understanding-gender-parentguardian-adult-allies-virtual-summit-fall-2021.html</w:t>
        </w:r>
      </w:hyperlink>
      <w:r>
        <w:t xml:space="preserve"> - The Rainbow Conference 2026 is a free LGBTQIA2S+ event scheduled for September 26, 2026, at Watsonville High School in Watsonville, California. The conference offers three distinct programs: the Queer, Trans &amp; Allied Student Summit for middle and high school students; the Understanding Gender Conference for parents, guardians, educators, and adult allies; and Rainbow Glitter Kids for elementary-age students and their families. The event aims to build community, share resources, and celebrate young people, drawing participants from Santa Cruz, Monterey, and San Benito counties. The conference runs from 9:30 AM to 2:00 PM Pacific Time, with breakfast and lunch provided. Registration and additional information are available through the Safe Schools Project website.</w:t>
      </w:r>
      <w:r/>
    </w:p>
    <w:p>
      <w:pPr>
        <w:pStyle w:val="ListNumber"/>
        <w:spacing w:line="240" w:lineRule="auto"/>
        <w:ind w:left="720"/>
      </w:pPr>
      <w:r/>
      <w:hyperlink r:id="rId13">
        <w:r>
          <w:rPr>
            <w:color w:val="0000EE"/>
            <w:u w:val="single"/>
          </w:rPr>
          <w:t>https://www.lgbtqcenteroc.org/youthconvening2026/</w:t>
        </w:r>
      </w:hyperlink>
      <w:r>
        <w:t xml:space="preserve"> - The LGBTQ Center OC is hosting the 2026 LGBTQ+ Youth Convening, a no-cost youth conference organised and led by youth leaders from VIVID, a coalition of LGBTQ+ student leaders and their allies. Scheduled for Saturday, April 18, 2026, the event is open to all ages and backgrounds, including youth, students, parents, guardians, families, school support staff, administrators, counsellors, professionals, and community members. The conference will feature three workshops with educational content geared towards youth, students, parents, and professionals, aiming to foster community action and engagement through a queer- and trans-inclusive lens.</w:t>
      </w:r>
      <w:r/>
    </w:p>
    <w:p>
      <w:pPr>
        <w:pStyle w:val="ListNumber"/>
        <w:spacing w:line="240" w:lineRule="auto"/>
        <w:ind w:left="720"/>
      </w:pPr>
      <w:r/>
      <w:hyperlink r:id="rId10">
        <w:r>
          <w:rPr>
            <w:color w:val="0000EE"/>
            <w:u w:val="single"/>
          </w:rPr>
          <w:t>https://santacruzscene.com/events/632df9d1-b26b-4f3b-8f51-9f531f508e44</w:t>
        </w:r>
      </w:hyperlink>
      <w:r>
        <w:t xml:space="preserve"> - Raíces y Cariño is hosting a monthly bilingual playgroup for LGBTQIA+ families and allies in Watsonville, California. The playgroup is designed for children aged 10 and younger and their caregivers, with siblings welcome. Activities include art projects, storytelling, light snacks, and playtime. The event is free and takes place on the fourth Saturday of every month from 10:30 AM to 12:00 PM at 7 Hangar Way Suite B, Watsonville, CA 95076. Families are asked to maintain the confidentiality of all playgroup attendees, and no photography is permitted.</w:t>
      </w:r>
      <w:r/>
    </w:p>
    <w:p>
      <w:pPr>
        <w:pStyle w:val="ListNumber"/>
        <w:spacing w:line="240" w:lineRule="auto"/>
        <w:ind w:left="720"/>
      </w:pPr>
      <w:r/>
      <w:hyperlink r:id="rId14">
        <w:r>
          <w:rPr>
            <w:color w:val="0000EE"/>
            <w:u w:val="single"/>
          </w:rPr>
          <w:t>https://www.montereybayparent.com/event/rainbow-playgroup/2026-07-25/</w:t>
        </w:r>
      </w:hyperlink>
      <w:r>
        <w:t xml:space="preserve"> - The Rainbow Playgroup is a monthly bilingual playgroup for LGBTQIA+ families and allies in Watsonville, California. Open to children aged 10 and younger and their families, the playgroup features art activities, stories, light snacks, and playtime. Siblings are welcome to attend. The event is free and held on the fourth Saturday of every month from 10:30 AM to 12:00 PM at Scott County Park, 3101 Freedom Blvd., Watsonville, CA 95076. Registration is required by texting 831-288-3105.</w:t>
      </w:r>
      <w:r/>
    </w:p>
    <w:p>
      <w:pPr>
        <w:pStyle w:val="ListNumber"/>
        <w:spacing w:line="240" w:lineRule="auto"/>
        <w:ind w:left="720"/>
      </w:pPr>
      <w:r/>
      <w:hyperlink r:id="rId11">
        <w:r>
          <w:rPr>
            <w:color w:val="0000EE"/>
            <w:u w:val="single"/>
          </w:rPr>
          <w:t>https://qyla.org/sponsor-a-table/</w:t>
        </w:r>
      </w:hyperlink>
      <w:r>
        <w:t xml:space="preserve"> - The Queer Youth Leadership Awards (QYLA) is seeking sponsors for its 29th Annual event, scheduled for Saturday, May 9, 2026, at 5:30 PM at Pajaro Valley High School in Watsonville, California. Sponsorships range from $600 to $2,500 and include 10 tickets for a full table at the event. The funds support the production of QYLA, offer cash awards and donation stipends to awardees, and continue the vital programs of the Queer Youth Task Force. Sponsors are listed as co-sponsors in the printed program if reserved before April 17, 2026.</w:t>
      </w:r>
      <w:r/>
    </w:p>
    <w:p>
      <w:pPr>
        <w:pStyle w:val="ListNumber"/>
        <w:spacing w:line="240" w:lineRule="auto"/>
        <w:ind w:left="720"/>
      </w:pPr>
      <w:r/>
      <w:hyperlink r:id="rId12">
        <w:r>
          <w:rPr>
            <w:color w:val="0000EE"/>
            <w:u w:val="single"/>
          </w:rPr>
          <w:t>https://qyla.org/location-date/</w:t>
        </w:r>
      </w:hyperlink>
      <w:r>
        <w:t xml:space="preserve"> - The Queer Youth Leadership Awards (QYLA) is scheduled for Saturday, May 9, 2026, at 5:30 PM at Pajaro Valley High School in Watsonville, California. The event includes a community resource fair at 5:30 PM, a catered buffet dinner at 6:00 PM, and the awards ceremony from 7:00 PM to 8:30 PM. The event honours and celebrates queer youth leaders and their allies, with simultaneous Spanish translation provided. The QYLA recognises LGBTQIA2S+ students and their allies throughout the county for their activism and authenticity.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ajaronian.com/rainbow-conference-brings-lgbtq-youth-families-together/" TargetMode="External"/><Relationship Id="rId10" Type="http://schemas.openxmlformats.org/officeDocument/2006/relationships/hyperlink" Target="https://santacruzscene.com/events/632df9d1-b26b-4f3b-8f51-9f531f508e44" TargetMode="External"/><Relationship Id="rId11" Type="http://schemas.openxmlformats.org/officeDocument/2006/relationships/hyperlink" Target="https://qyla.org/sponsor-a-table/" TargetMode="External"/><Relationship Id="rId12" Type="http://schemas.openxmlformats.org/officeDocument/2006/relationships/hyperlink" Target="https://qyla.org/location-date/" TargetMode="External"/><Relationship Id="rId13" Type="http://schemas.openxmlformats.org/officeDocument/2006/relationships/hyperlink" Target="https://www.lgbtqcenteroc.org/youthconvening2026/" TargetMode="External"/><Relationship Id="rId14" Type="http://schemas.openxmlformats.org/officeDocument/2006/relationships/hyperlink" Target="https://www.montereybayparent.com/event/rainbow-playgroup/2026-07-25/" TargetMode="External"/><Relationship Id="rId15" Type="http://schemas.openxmlformats.org/officeDocument/2006/relationships/hyperlink" Target="https://www.gaypinkspots.com/event/understanding-gender-parentguardian-adult-allies-virtual-summit-fall-202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