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Students Need Safe Schools This Back-to-School Year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As children return to classrooms across the US and Canada, LGBTQ students face more than the usual first-day nerves. New research and legal analysis suggest that anti-LGBTQ policies, hostile school climates and forced silence can deepen anxiety, isolation and mental-health risks for young people still working out who they are.</w:t>
      </w:r>
      <w:r/>
    </w:p>
    <w:p>
      <w:pPr>
        <w:pStyle w:val="Heading2"/>
      </w:pPr>
      <w:r>
        <w:t>Essential Takeaways</w:t>
      </w:r>
      <w:r/>
      <w:r/>
    </w:p>
    <w:p>
      <w:pPr>
        <w:pStyle w:val="ListBullet"/>
        <w:spacing w:line="240" w:lineRule="auto"/>
        <w:ind w:left="720"/>
      </w:pPr>
      <w:r/>
      <w:r>
        <w:rPr>
          <w:b/>
        </w:rPr>
        <w:t>Back-to-school pressure:</w:t>
      </w:r>
      <w:r>
        <w:t xml:space="preserve"> September can bring excitement, but also renewed exposure to bullying, social judgement and academic stress.</w:t>
      </w:r>
      <w:r/>
    </w:p>
    <w:p>
      <w:pPr>
        <w:pStyle w:val="ListBullet"/>
        <w:spacing w:line="240" w:lineRule="auto"/>
        <w:ind w:left="720"/>
      </w:pPr>
      <w:r/>
      <w:r>
        <w:rPr>
          <w:b/>
        </w:rPr>
        <w:t>Silencing matters:</w:t>
      </w:r>
      <w:r>
        <w:t xml:space="preserve"> So-called “Don’t Say Gay” laws can restrict classroom discussion and make LGBTQ pupils feel invisible.</w:t>
      </w:r>
      <w:r/>
    </w:p>
    <w:p>
      <w:pPr>
        <w:pStyle w:val="ListBullet"/>
        <w:spacing w:line="240" w:lineRule="auto"/>
        <w:ind w:left="720"/>
      </w:pPr>
      <w:r/>
      <w:r>
        <w:rPr>
          <w:b/>
        </w:rPr>
        <w:t>Trans pupils face added barriers:</w:t>
      </w:r>
      <w:r>
        <w:t xml:space="preserve"> Bathroom, sports and parental-notification rules affect daily school life and privacy.</w:t>
      </w:r>
      <w:r/>
    </w:p>
    <w:p>
      <w:pPr>
        <w:pStyle w:val="ListBullet"/>
        <w:spacing w:line="240" w:lineRule="auto"/>
        <w:ind w:left="720"/>
      </w:pPr>
      <w:r/>
      <w:r>
        <w:rPr>
          <w:b/>
        </w:rPr>
        <w:t>Mental-health consequences:</w:t>
      </w:r>
      <w:r>
        <w:t xml:space="preserve"> Research links hostile social environments and anti-trans policies with poorer wellbeing among LGBTQ young people.</w:t>
      </w:r>
      <w:r/>
    </w:p>
    <w:p>
      <w:pPr>
        <w:pStyle w:val="ListBullet"/>
        <w:spacing w:line="240" w:lineRule="auto"/>
        <w:ind w:left="720"/>
      </w:pPr>
      <w:r/>
      <w:r>
        <w:rPr>
          <w:b/>
        </w:rPr>
        <w:t>Support helps:</w:t>
      </w:r>
      <w:r>
        <w:t xml:space="preserve"> Trusted adults, inclusive resources and clear anti-bullying policies can offer practical protection.</w:t>
      </w:r>
      <w:r/>
      <w:r/>
    </w:p>
    <w:p>
      <w:pPr>
        <w:pStyle w:val="Heading2"/>
      </w:pPr>
      <w:r>
        <w:t>The first week back can feel like a fresh start, or a warning</w:t>
      </w:r>
      <w:r/>
    </w:p>
    <w:p>
      <w:r/>
      <w:r>
        <w:t>The return to school has a particular emotional texture: polished shoes, crowded corridors and the slightly dusty smell of a classroom that’s been closed all summer. For some pupils, it’s a welcome reunion with friends. For others, it means stepping back into an environment where every word, outfit and friendship may feel scrutinised.</w:t>
      </w:r>
      <w:r/>
    </w:p>
    <w:p>
      <w:r/>
      <w:r>
        <w:t>That pressure can be especially sharp for LGBTQ students who haven’t come out, or who are unsure whether school is safe enough for honesty. The American Psychological Association has highlighted the mental-health strain LGBTQ young people can face when identity, family expectations and social hostility collide. A school day may look ordinary from the outside, while inside, a pupil is carefully managing every detail of their performance.</w:t>
      </w:r>
      <w:r/>
    </w:p>
    <w:p>
      <w:pPr>
        <w:pStyle w:val="Heading2"/>
      </w:pPr>
      <w:r>
        <w:t>What anti-LGBTQ school rules change</w:t>
      </w:r>
      <w:r/>
    </w:p>
    <w:p>
      <w:r/>
      <w:r>
        <w:t>Legal restrictions vary from state to state, but the overall effect can be similar: LGBTQ lives become harder to acknowledge in ordinary school settings. Analysis of so-called “Don’t Say Gay” measures by LegalClarity notes that some laws limit discussion of sexual orientation and gender identity, particularly in younger year groups, while also creating uncertainty for teachers.</w:t>
      </w:r>
      <w:r/>
    </w:p>
    <w:p>
      <w:r/>
      <w:r>
        <w:t>That uncertainty matters. A teacher who might once have included a book with same-sex parents, or offered reassurance to a questioning pupil, may now worry about complaints or disciplinary action. For a young person, the message can be chillingly simple: people like you are not meant to be mentioned.</w:t>
      </w:r>
      <w:r/>
    </w:p>
    <w:p>
      <w:r/>
      <w:r>
        <w:t>The Williams Institute has also documented the spread of anti-trans legislation affecting young people, including restrictions connected with sport, healthcare and school life. These rules don’t stay on the statute book. They follow pupils into changing rooms, registration, assemblies and conversations with staff.</w:t>
      </w:r>
      <w:r/>
    </w:p>
    <w:p>
      <w:pPr>
        <w:pStyle w:val="Heading2"/>
      </w:pPr>
      <w:r>
        <w:t>Trans pupils are being asked to navigate school twice</w:t>
      </w:r>
      <w:r/>
    </w:p>
    <w:p>
      <w:r/>
      <w:r>
        <w:t>For trans and gender-nonconforming students, routine school tasks can become logistical and emotional hurdles. Which toilet can they use? Will a teacher use their name? What happens if a school policy requires information to be disclosed to parents before a pupil is ready?</w:t>
      </w:r>
      <w:r/>
    </w:p>
    <w:p>
      <w:r/>
      <w:r>
        <w:t>The Williams Institute’s research shows how policies targeting trans young people can narrow their choices and increase exposure to discrimination. Meanwhile, reporting from LGBTQ Nation has linked the wider political climate to heightened distress and suicidality among LGBTQ youth. These findings don’t suggest that identity causes poor mental health. Rather, they point to the damage caused by rejection, surveillance and exclusion.</w:t>
      </w:r>
      <w:r/>
    </w:p>
    <w:p>
      <w:r/>
      <w:r>
        <w:t>Schools can make a practical difference by setting clear anti-bullying rules, offering confidential pastoral support where legally possible and ensuring staff know how to respond to harassment. Small signals count, too: a respectful name, an inclusive library shelf and an adult who doesn’t flinch at the word “queer”.</w:t>
      </w:r>
      <w:r/>
    </w:p>
    <w:p>
      <w:pPr>
        <w:pStyle w:val="Heading2"/>
      </w:pPr>
      <w:r>
        <w:t>Bullying turns policy into lived experience</w:t>
      </w:r>
      <w:r/>
    </w:p>
    <w:p>
      <w:r/>
      <w:r>
        <w:t>A law may be debated in a state capital, but its consequences are felt in lunch queues and changing rooms. UCLA Health has reported that bullying and adverse social conditions can produce measurable harm, reinforcing the link between hostile environments and young people’s wellbeing.</w:t>
      </w:r>
      <w:r/>
    </w:p>
    <w:p>
      <w:r/>
      <w:r>
        <w:t>That’s why families should look beyond a school’s prospectus. Ask how it handles homophobic and transphobic bullying, whether pupils can access a counsellor and how staff communicate about names, pronouns and privacy. Parents and carers can also watch for changes in sleep, appetite, attendance, mood or substance use, without turning every conversation into an interrogation.</w:t>
      </w:r>
      <w:r/>
    </w:p>
    <w:p>
      <w:r/>
      <w:r>
        <w:t>Support doesn’t need to begin with a grand announcement. A calm message such as, “You can tell me anything, and you won’t be in trouble,” may give a young person room to breathe. For pupils who are questioning, being believed is often more useful than being hurried towards a label.</w:t>
      </w:r>
      <w:r/>
    </w:p>
    <w:p>
      <w:pPr>
        <w:pStyle w:val="Heading2"/>
      </w:pPr>
      <w:r>
        <w:t>Why silence can push young people towards risky coping strategies</w:t>
      </w:r>
      <w:r/>
    </w:p>
    <w:p>
      <w:r/>
      <w:r>
        <w:t>When students feel they must hide, they may search for other ways to fit in. That can mean mimicking peers, suppressing relationships or using alcohol and other substances to dull anxiety. LGBTQ Nation’s reporting on conversion therapy has also explored how pressure to change or conceal identity can interfere with the healthy development of a young person’s sense of self.</w:t>
      </w:r>
      <w:r/>
    </w:p>
    <w:p>
      <w:r/>
      <w:r>
        <w:t>The point isn’t to portray LGBTQ pupils as fragile. It’s to recognise the exhausting work involved in pretending to be someone else, especially while navigating exams, friendships and family expectations. A supportive school won’t remove every difficulty, but it can stop identity from becoming another source of danger.</w:t>
      </w:r>
      <w:r/>
    </w:p>
    <w:p>
      <w:r/>
      <w:r>
        <w:t>The longer-term outlook depends partly on whether adults treat inclusion as basic safeguarding rather than a political accessory. As the American Psychological Association and other researchers continue to document, policies and social climates shape mental health. Children don’t need adults to agree on every cultural question. They need adults to make sure they’re safe while growing up.</w:t>
      </w:r>
      <w:r/>
    </w:p>
    <w:p>
      <w:r/>
      <w:r>
        <w:t>It’s a small but powerful change: make school a place where no child has to disappear to get through the day.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[6]</w:t>
        </w:r>
      </w:hyperlink>
      <w:r>
        <w:t xml:space="preserve">- Paragraph 2: </w:t>
      </w:r>
      <w:hyperlink r:id="rId10">
        <w:r>
          <w:rPr>
            <w:color w:val="0000EE"/>
            <w:u w:val="single"/>
          </w:rPr>
          <w:t>[2]</w:t>
        </w:r>
      </w:hyperlink>
      <w:r>
        <w:t xml:space="preserve">, </w:t>
      </w:r>
      <w:hyperlink r:id="rId12">
        <w:r>
          <w:rPr>
            <w:color w:val="0000EE"/>
            <w:u w:val="single"/>
          </w:rPr>
          <w:t>[3]</w:t>
        </w:r>
      </w:hyperlink>
      <w:r>
        <w:t xml:space="preserve">- Paragraph 3: </w:t>
      </w:r>
      <w:hyperlink r:id="rId13">
        <w:r>
          <w:rPr>
            <w:color w:val="0000EE"/>
            <w:u w:val="single"/>
          </w:rPr>
          <w:t>[4]</w:t>
        </w:r>
      </w:hyperlink>
      <w:r>
        <w:t xml:space="preserve">, </w:t>
      </w:r>
      <w:hyperlink r:id="rId14">
        <w:r>
          <w:rPr>
            <w:color w:val="0000EE"/>
            <w:u w:val="single"/>
          </w:rPr>
          <w:t>[5]</w:t>
        </w:r>
      </w:hyperlink>
      <w:r>
        <w:t xml:space="preserve">- Paragraph 4: </w:t>
      </w:r>
      <w:hyperlink r:id="rId14">
        <w:r>
          <w:rPr>
            <w:color w:val="0000EE"/>
            <w:u w:val="single"/>
          </w:rPr>
          <w:t>[5]</w:t>
        </w:r>
      </w:hyperlink>
      <w:r>
        <w:t xml:space="preserve">, </w:t>
      </w:r>
      <w:hyperlink r:id="rId12">
        <w:r>
          <w:rPr>
            <w:color w:val="0000EE"/>
            <w:u w:val="single"/>
          </w:rPr>
          <w:t>[3]</w:t>
        </w:r>
      </w:hyperlink>
      <w:r>
        <w:t xml:space="preserve">- Paragraph 5: </w:t>
      </w:r>
      <w:hyperlink r:id="rId11">
        <w:r>
          <w:rPr>
            <w:color w:val="0000EE"/>
            <w:u w:val="single"/>
          </w:rPr>
          <w:t>[6]</w:t>
        </w:r>
      </w:hyperlink>
      <w:r>
        <w:t xml:space="preserve">, </w:t>
      </w:r>
      <w:hyperlink r:id="rId10">
        <w:r>
          <w:rPr>
            <w:color w:val="0000EE"/>
            <w:u w:val="single"/>
          </w:rPr>
          <w:t>[2]</w:t>
        </w:r>
      </w:hyperlink>
      <w:r>
        <w:t xml:space="preserve">- Paragraph 6: </w:t>
      </w:r>
      <w:hyperlink r:id="rId13">
        <w:r>
          <w:rPr>
            <w:color w:val="0000EE"/>
            <w:u w:val="single"/>
          </w:rPr>
          <w:t>[4]</w:t>
        </w:r>
      </w:hyperlink>
      <w:r>
        <w:t xml:space="preserve">, </w:t>
      </w:r>
      <w:hyperlink r:id="rId14">
        <w:r>
          <w:rPr>
            <w:color w:val="0000EE"/>
            <w:u w:val="single"/>
          </w:rPr>
          <w:t>[5]</w:t>
        </w:r>
      </w:hyperlink>
      <w:r>
        <w:t xml:space="preserve">- Paragraph 7: </w:t>
      </w:r>
      <w:hyperlink r:id="rId14">
        <w:r>
          <w:rPr>
            <w:color w:val="0000EE"/>
            <w:u w:val="single"/>
          </w:rPr>
          <w:t>[5]</w:t>
        </w:r>
      </w:hyperlink>
      <w:r>
        <w:t xml:space="preserve">, </w:t>
      </w:r>
      <w:hyperlink r:id="rId12">
        <w:r>
          <w:rPr>
            <w:color w:val="0000EE"/>
            <w:u w:val="single"/>
          </w:rPr>
          <w:t>[3]</w:t>
        </w:r>
      </w:hyperlink>
      <w:r>
        <w:t xml:space="preserve">- Paragraph 8: </w:t>
      </w:r>
      <w:hyperlink r:id="rId11">
        <w:r>
          <w:rPr>
            <w:color w:val="0000EE"/>
            <w:u w:val="single"/>
          </w:rPr>
          <w:t>[6]</w:t>
        </w:r>
      </w:hyperlink>
      <w:r>
        <w:t xml:space="preserve">, </w:t>
      </w:r>
      <w:hyperlink r:id="rId10">
        <w:r>
          <w:rPr>
            <w:color w:val="0000EE"/>
            <w:u w:val="single"/>
          </w:rPr>
          <w:t>[2]</w:t>
        </w:r>
      </w:hyperlink>
      <w:r>
        <w:t xml:space="preserve">- Paragraph 9: </w:t>
      </w:r>
      <w:hyperlink r:id="rId10">
        <w:r>
          <w:rPr>
            <w:color w:val="0000EE"/>
            <w:u w:val="single"/>
          </w:rPr>
          <w:t>[2]</w:t>
        </w:r>
      </w:hyperlink>
      <w:r>
        <w:t xml:space="preserve">, </w:t>
      </w:r>
      <w:hyperlink r:id="rId11">
        <w:r>
          <w:rPr>
            <w:color w:val="0000EE"/>
            <w:u w:val="single"/>
          </w:rPr>
          <w:t>[6]</w:t>
        </w:r>
      </w:hyperlink>
      <w:r>
        <w:t xml:space="preserve">- Paragraph 10: </w:t>
      </w:r>
      <w:hyperlink r:id="rId15">
        <w:r>
          <w:rPr>
            <w:color w:val="0000EE"/>
            <w:u w:val="single"/>
          </w:rPr>
          <w:t>[7]</w:t>
        </w:r>
      </w:hyperlink>
      <w:r>
        <w:t xml:space="preserve">, </w:t>
      </w:r>
      <w:hyperlink r:id="rId12">
        <w:r>
          <w:rPr>
            <w:color w:val="0000EE"/>
            <w:u w:val="single"/>
          </w:rPr>
          <w:t>[3]</w:t>
        </w:r>
      </w:hyperlink>
      <w:r>
        <w:t xml:space="preserve">- Paragraph 11: </w:t>
      </w:r>
      <w:hyperlink r:id="rId15">
        <w:r>
          <w:rPr>
            <w:color w:val="0000EE"/>
            <w:u w:val="single"/>
          </w:rPr>
          <w:t>[7]</w:t>
        </w:r>
      </w:hyperlink>
      <w:r>
        <w:t xml:space="preserve">, </w:t>
      </w:r>
      <w:hyperlink r:id="rId10">
        <w:r>
          <w:rPr>
            <w:color w:val="0000EE"/>
            <w:u w:val="single"/>
          </w:rPr>
          <w:t>[2]</w:t>
        </w:r>
      </w:hyperlink>
      <w:r>
        <w:t xml:space="preserve">- Paragraph 12: </w:t>
      </w:r>
      <w:hyperlink r:id="rId10">
        <w:r>
          <w:rPr>
            <w:color w:val="0000EE"/>
            <w:u w:val="single"/>
          </w:rPr>
          <w:t>[2]</w:t>
        </w:r>
      </w:hyperlink>
      <w:r>
        <w:t xml:space="preserve">, </w:t>
      </w:r>
      <w:hyperlink r:id="rId14">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https://www.unclosetedmedia.com/p/as-kids-head-back-to-school-anti</w:t>
        </w:r>
      </w:hyperlink>
      <w:r>
        <w:t xml:space="preserve"> - Please view link - unable to able to access data</w:t>
      </w:r>
      <w:r/>
    </w:p>
    <w:p>
      <w:pPr>
        <w:pStyle w:val="ListNumber"/>
        <w:spacing w:line="240" w:lineRule="auto"/>
        <w:ind w:left="720"/>
      </w:pPr>
      <w:r/>
      <w:hyperlink r:id="rId10">
        <w:r>
          <w:rPr>
            <w:color w:val="0000EE"/>
            <w:u w:val="single"/>
          </w:rPr>
          <w:t>https://www.apa.org/monitor/2026/03/lgbtq-mental-health</w:t>
        </w:r>
      </w:hyperlink>
      <w:r>
        <w:t xml:space="preserve"> - A report from the American Psychological Association highlights significant increases in depression, anxiety, and suicidal thoughts among LGBTQ+ youth. The study reveals that 68% of LGBTQ+ youth aged 13 to 24 experienced anxiety symptoms, and 54% faced depression symptoms at a one-year follow-up. Additionally, 47% reported suicidal thoughts, up from 41% at baseline. The findings underscore the urgent need for mental health support tailored to the unique challenges faced by LGBTQ+ adolescents.</w:t>
      </w:r>
      <w:r/>
    </w:p>
    <w:p>
      <w:pPr>
        <w:pStyle w:val="ListNumber"/>
        <w:spacing w:line="240" w:lineRule="auto"/>
        <w:ind w:left="720"/>
      </w:pPr>
      <w:r/>
      <w:hyperlink r:id="rId12">
        <w:r>
          <w:rPr>
            <w:color w:val="0000EE"/>
            <w:u w:val="single"/>
          </w:rPr>
          <w:t>https://www.lgbtqnation.com/2026/05/gops-anti-trans-politics-are-driving-suicidality-among-lgbtq-youth/</w:t>
        </w:r>
      </w:hyperlink>
      <w:r>
        <w:t xml:space="preserve"> - An article from LGBTQ Nation discusses how anti-LGBTQ+ legislation and political rhetoric are contributing to increased suicidality among LGBTQ+ youth. The Trevor Project's annual survey indicates that one in ten LGBTQ+ youth attempted suicide in 2025, with heightened risks for transgender and nonbinary individuals. The piece emphasizes the detrimental impact of such policies on the mental health of young people and calls for supportive measures to address these challenges.</w:t>
      </w:r>
      <w:r/>
    </w:p>
    <w:p>
      <w:pPr>
        <w:pStyle w:val="ListNumber"/>
        <w:spacing w:line="240" w:lineRule="auto"/>
        <w:ind w:left="720"/>
      </w:pPr>
      <w:r/>
      <w:hyperlink r:id="rId13">
        <w:r>
          <w:rPr>
            <w:color w:val="0000EE"/>
            <w:u w:val="single"/>
          </w:rPr>
          <w:t>https://legalclarity.org/dont-say-gay-bill-full-text-key-provisions-and-lawsuits/</w:t>
        </w:r>
      </w:hyperlink>
      <w:r>
        <w:t xml:space="preserve"> - LegalClarity provides an analysis of the 'Don't Say Gay' laws, detailing their key provisions and the legal challenges they have faced. The article notes that as of early 2023, 12 states had enacted laws restricting discussions on sexual orientation and gender identity in educational settings. It also highlights the constitutional debates surrounding these laws, particularly concerning First Amendment rights, and the ongoing legal battles aimed at overturning or modifying them.</w:t>
      </w:r>
      <w:r/>
    </w:p>
    <w:p>
      <w:pPr>
        <w:pStyle w:val="ListNumber"/>
        <w:spacing w:line="240" w:lineRule="auto"/>
        <w:ind w:left="720"/>
      </w:pPr>
      <w:r/>
      <w:hyperlink r:id="rId14">
        <w:r>
          <w:rPr>
            <w:color w:val="0000EE"/>
            <w:u w:val="single"/>
          </w:rPr>
          <w:t>https://williamsinstitute.law.ucla.edu/publications/anti-trans-legislation-youth/</w:t>
        </w:r>
      </w:hyperlink>
      <w:r>
        <w:t xml:space="preserve"> - A study by the Williams Institute examines the impact of 2025 anti-transgender legislation on youth. The research estimates that more than half of transgender youth live in states with at least one law or policy restricting their rights, including bans on gender-affirming care, sports participation, and bathroom access. The study highlights the disproportionate effect of these laws on transgender youth in the South and Midwest, emphasizing the need for protective measures and supportive environments.</w:t>
      </w:r>
      <w:r/>
    </w:p>
    <w:p>
      <w:pPr>
        <w:pStyle w:val="ListNumber"/>
        <w:spacing w:line="240" w:lineRule="auto"/>
        <w:ind w:left="720"/>
      </w:pPr>
      <w:r/>
      <w:hyperlink r:id="rId11">
        <w:r>
          <w:rPr>
            <w:color w:val="0000EE"/>
            <w:u w:val="single"/>
          </w:rPr>
          <w:t>https://www.uclahealth.org/news/release/bullying-and-adverse-social-climate-take-measurable-toll-2</w:t>
        </w:r>
      </w:hyperlink>
      <w:r>
        <w:t xml:space="preserve"> - UCLA Health reports on a study revealing that gender-diverse adolescents who experience bullying and reside in states with unsupportive gender identity laws are significantly more likely to suffer from psychological distress. The research suggests that the mental health challenges faced by gender-diverse youth are not inherent but are influenced by the social and political environments, underscoring the importance of supportive policies and communities.</w:t>
      </w:r>
      <w:r/>
    </w:p>
    <w:p>
      <w:pPr>
        <w:pStyle w:val="ListNumber"/>
        <w:spacing w:line="240" w:lineRule="auto"/>
        <w:ind w:left="720"/>
      </w:pPr>
      <w:r/>
      <w:hyperlink r:id="rId15">
        <w:r>
          <w:rPr>
            <w:color w:val="0000EE"/>
            <w:u w:val="single"/>
          </w:rPr>
          <w:t>https://www.lgbtqnation.com/2026/04/why-is-conversion-therapy-so-harmful-its-all-about-how-young-people-form-their-identities/</w:t>
        </w:r>
      </w:hyperlink>
      <w:r>
        <w:t xml:space="preserve"> - LGBTQ Nation explores the harmful effects of conversion therapy on young people, emphasizing how it disrupts the formation of their identities. The article cites studies showing that approximately 5% of LGBTQ+ youth undergo conversion therapy, with 27% of these individuals attempting suicide over the past year. It discusses the pseudoscientific nature of conversion therapy and its substantial increase in suicidality among those subjected to it.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unclosetedmedia.com/p/as-kids-head-back-to-school-anti" TargetMode="External"/><Relationship Id="rId10" Type="http://schemas.openxmlformats.org/officeDocument/2006/relationships/hyperlink" Target="https://www.apa.org/monitor/2026/03/lgbtq-mental-health" TargetMode="External"/><Relationship Id="rId11" Type="http://schemas.openxmlformats.org/officeDocument/2006/relationships/hyperlink" Target="https://www.uclahealth.org/news/release/bullying-and-adverse-social-climate-take-measurable-toll-2" TargetMode="External"/><Relationship Id="rId12" Type="http://schemas.openxmlformats.org/officeDocument/2006/relationships/hyperlink" Target="https://www.lgbtqnation.com/2026/05/gops-anti-trans-politics-are-driving-suicidality-among-lgbtq-youth/" TargetMode="External"/><Relationship Id="rId13" Type="http://schemas.openxmlformats.org/officeDocument/2006/relationships/hyperlink" Target="https://legalclarity.org/dont-say-gay-bill-full-text-key-provisions-and-lawsuits/" TargetMode="External"/><Relationship Id="rId14" Type="http://schemas.openxmlformats.org/officeDocument/2006/relationships/hyperlink" Target="https://williamsinstitute.law.ucla.edu/publications/anti-trans-legislation-youth/" TargetMode="External"/><Relationship Id="rId15" Type="http://schemas.openxmlformats.org/officeDocument/2006/relationships/hyperlink" Target="https://www.lgbtqnation.com/2026/04/why-is-conversion-therapy-so-harmful-its-all-about-how-young-people-form-their-identiti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