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Washington Ballot Initiatives Put Trans Rights Under Scrutiny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in Washington state are facing ballot measures that critics say could police girls’ bodies, expose vulnerable pupils and fold anti-trans politics into a wider conservative agenda. The proposals, backed by a well-funded campaign, arrive as similar questions gather momentum across the US, making November a crucial test of how far this strategy can travel.</w:t>
      </w:r>
      <w:r/>
    </w:p>
    <w:p>
      <w:pPr>
        <w:pStyle w:val="Heading2"/>
      </w:pPr>
      <w:r>
        <w:t>Essential Takeaways</w:t>
      </w:r>
      <w:r/>
      <w:r/>
    </w:p>
    <w:p>
      <w:pPr>
        <w:pStyle w:val="ListBullet"/>
        <w:spacing w:line="240" w:lineRule="auto"/>
        <w:ind w:left="720"/>
      </w:pPr>
      <w:r/>
      <w:r>
        <w:rPr>
          <w:b/>
        </w:rPr>
        <w:t>Two major proposals:</w:t>
      </w:r>
      <w:r>
        <w:t xml:space="preserve"> Washington voters may consider measures covering school sports and parental control over pupil information.</w:t>
      </w:r>
      <w:r/>
    </w:p>
    <w:p>
      <w:pPr>
        <w:pStyle w:val="ListBullet"/>
        <w:spacing w:line="240" w:lineRule="auto"/>
        <w:ind w:left="720"/>
      </w:pPr>
      <w:r/>
      <w:r>
        <w:rPr>
          <w:b/>
        </w:rPr>
        <w:t>Sex checks could be invasive:</w:t>
      </w:r>
      <w:r>
        <w:t xml:space="preserve"> Critics warn the sports initiative could make genital examinations the cheapest practical form of verification.</w:t>
      </w:r>
      <w:r/>
    </w:p>
    <w:p>
      <w:pPr>
        <w:pStyle w:val="ListBullet"/>
        <w:spacing w:line="240" w:lineRule="auto"/>
        <w:ind w:left="720"/>
      </w:pPr>
      <w:r/>
      <w:r>
        <w:rPr>
          <w:b/>
        </w:rPr>
        <w:t>The campaign is part of a wider push:</w:t>
      </w:r>
      <w:r>
        <w:t xml:space="preserve"> Similar anti-trans ballot questions are emerging in several states.</w:t>
      </w:r>
      <w:r/>
    </w:p>
    <w:p>
      <w:pPr>
        <w:pStyle w:val="ListBullet"/>
        <w:spacing w:line="240" w:lineRule="auto"/>
        <w:ind w:left="720"/>
      </w:pPr>
      <w:r/>
      <w:r>
        <w:rPr>
          <w:b/>
        </w:rPr>
        <w:t>Abortion politics are being blurred:</w:t>
      </w:r>
      <w:r>
        <w:t xml:space="preserve"> In Missouri, opponents say trans healthcare is being used to distract from a proposed rollback of abortion protections.</w:t>
      </w:r>
      <w:r/>
    </w:p>
    <w:p>
      <w:pPr>
        <w:pStyle w:val="ListBullet"/>
        <w:spacing w:line="240" w:lineRule="auto"/>
        <w:ind w:left="720"/>
      </w:pPr>
      <w:r/>
      <w:r>
        <w:rPr>
          <w:b/>
        </w:rPr>
        <w:t>The stakes extend beyond elections:</w:t>
      </w:r>
      <w:r>
        <w:t xml:space="preserve"> Advocates fear the measures could encourage bullying, surveillance and families leaving hostile states.</w:t>
      </w:r>
      <w:r/>
      <w:r/>
    </w:p>
    <w:p>
      <w:pPr>
        <w:pStyle w:val="Heading2"/>
      </w:pPr>
      <w:r>
        <w:t>Why Washington’s ballot questions matter</w:t>
      </w:r>
      <w:r/>
    </w:p>
    <w:p>
      <w:r/>
      <w:r>
        <w:t>The most striking feature of Washington’s proposals is their reach. One would require girls from kindergarten through secondary school to prove their sex before taking part in sport, while another could force schools to share information about children questioning their gender or sexuality.</w:t>
      </w:r>
      <w:r/>
    </w:p>
    <w:p>
      <w:r/>
      <w:r>
        <w:t>That makes these measures more than a narrow argument about athletics. Critics say they could establish a system in which pupils, families and school staff are encouraged to monitor one another. The Washington group behind the campaign has already promoted a broad conservative slate, including measures concerning tax, environmental and government policy, according to Ballotpedia and local campaign material.</w:t>
      </w:r>
      <w:r/>
    </w:p>
    <w:p>
      <w:r/>
      <w:r>
        <w:t>There’s a grim irony here. A debate supposedly framed around protecting girls could create new pressure on every girl whose appearance, development or identity fails to match someone else’s expectations.</w:t>
      </w:r>
      <w:r/>
    </w:p>
    <w:p>
      <w:pPr>
        <w:pStyle w:val="Heading2"/>
      </w:pPr>
      <w:r>
        <w:t>How a sports rule could become a body-policing system</w:t>
      </w:r>
      <w:r/>
    </w:p>
    <w:p>
      <w:r/>
      <w:r>
        <w:t>The proposed sports measure refers to reproductive anatomy, genetics and naturally produced testosterone. Those checks aren’t part of ordinary school sports health assessments, so the practical question is how schools would actually enforce them.</w:t>
      </w:r>
      <w:r/>
    </w:p>
    <w:p>
      <w:r/>
      <w:r>
        <w:t>Researchers and opponents say the answer could be deeply intrusive. Laboratory testing may be too costly for routine use, leaving physical examinations as the simplest route for local officials. That prospect has alarmed families and women’s rights advocates, particularly because boys wouldn’t face the same requirement.</w:t>
      </w:r>
      <w:r/>
    </w:p>
    <w:p>
      <w:r/>
      <w:r>
        <w:t>The scientific argument is also less settled than campaign slogans suggest. A review of dozens of studies reported that transgender women had greater lean mass in some comparisons, but broadly comparable physical fitness, and said the available evidence didn’t establish an inherent sporting advantage across the board. In other words, a complicated research question is being squeezed into a blunt legal test.</w:t>
      </w:r>
      <w:r/>
    </w:p>
    <w:p>
      <w:pPr>
        <w:pStyle w:val="Heading2"/>
      </w:pPr>
      <w:r>
        <w:t>The proposals fit a national political playbook</w:t>
      </w:r>
      <w:r/>
    </w:p>
    <w:p>
      <w:r/>
      <w:r>
        <w:t>Washington is not acting in isolation. Ballot measures targeting transgender people are also expected in states including Arizona, Colorado, Nebraska and Missouri, suggesting a coordinated shift from legislative campaigning to direct appeals to voters.</w:t>
      </w:r>
      <w:r/>
    </w:p>
    <w:p>
      <w:r/>
      <w:r>
        <w:t>That strategy has a familiar political shape. A relatively small group is presented as a threat to children, women or public order, while the ballot language reaches into much wider areas of law. In Arizona, for example, critics say a sports proposal could authorise private lawsuits against schools and introduce definitions of sex that might later be reused elsewhere.</w:t>
      </w:r>
      <w:r/>
    </w:p>
    <w:p>
      <w:r/>
      <w:r>
        <w:t>This is why campaigners describe the measures as a kind of legal beachhead. Once a new definition or enforcement mechanism enters one part of the statute book, it can be cited in future arguments about toilets, changing rooms, healthcare or official documents. The wording may begin in a sports rule, but its political afterlife could be much longer.</w:t>
      </w:r>
      <w:r/>
    </w:p>
    <w:p>
      <w:pPr>
        <w:pStyle w:val="Heading2"/>
      </w:pPr>
      <w:r>
        <w:t>Missouri shows how trans issues can obscure bigger stakes</w:t>
      </w:r>
      <w:r/>
    </w:p>
    <w:p>
      <w:r/>
      <w:r>
        <w:t>Missouri offers a particularly clear example of how anti-trans messaging can be used to sell a wider package. Amendment 3 would add restrictions concerning medical treatment for young transgender people, but critics say the central effect would be to repeal abortion protections approved by voters.</w:t>
      </w:r>
      <w:r/>
    </w:p>
    <w:p>
      <w:r/>
      <w:r>
        <w:t>That combination creates a communications problem for the public. People may be asked to react emotionally to one policy while missing the measure’s consequences for hundreds of thousands of women and families. A question combining two unrelated issues would normally make a poll difficult to interpret, yet voters are being asked to make precisely that choice at the ballot box.</w:t>
      </w:r>
      <w:r/>
    </w:p>
    <w:p>
      <w:r/>
      <w:r>
        <w:t>Recent polling suggested support had weakened to an even split, with a sizeable share still undecided. That leaves room for campaigns to define the measure before voters have fully understood what it would change. It’s a useful reminder to read the legal summary, not just the billboard.</w:t>
      </w:r>
      <w:r/>
    </w:p>
    <w:p>
      <w:pPr>
        <w:pStyle w:val="Heading2"/>
      </w:pPr>
      <w:r>
        <w:t>Blue states are being tested, too</w:t>
      </w:r>
      <w:r/>
    </w:p>
    <w:p>
      <w:r/>
      <w:r>
        <w:t>Colorado’s inclusion is significant because it has been viewed by many LGBTQ families as a relatively safe place to live. Two proposed measures there would restrict transgender participation in sport and prohibit gender-affirming surgery for young people, despite the state’s existing protections against discrimination.</w:t>
      </w:r>
      <w:r/>
    </w:p>
    <w:p>
      <w:r/>
      <w:r>
        <w:t>Relocation groups say families have already been moving across state lines to escape hostile laws. If similar proposals reach states considered safe, that map becomes less reassuring. A parent who has packed a car and crossed the country for security may reasonably wonder where, exactly, safety is supposed to begin.</w:t>
      </w:r>
      <w:r/>
    </w:p>
    <w:p>
      <w:r/>
      <w:r>
        <w:t>The immediate electoral results will matter, but so will the atmosphere created along the way. Even unsuccessful measures can generate school anxiety, invite suspicion and tell young people that their identity is acceptable only when it stays out of public life. That’s a heavy lesson to place on children.</w:t>
      </w:r>
      <w:r/>
    </w:p>
    <w:p>
      <w:pPr>
        <w:pStyle w:val="Heading2"/>
      </w:pPr>
      <w:r>
        <w:t>What voters should check before deciding</w:t>
      </w:r>
      <w:r/>
    </w:p>
    <w:p>
      <w:r/>
      <w:r>
        <w:t>Start with the full text and official fiscal or legal analysis. Look for provisions about enforcement, private lawsuits, school records and definitions that could be applied beyond the headline issue.</w:t>
      </w:r>
      <w:r/>
    </w:p>
    <w:p>
      <w:r/>
      <w:r>
        <w:t>It’s also worth asking who would carry out the rule and who could challenge it. A proposal may sound narrowly focused, but local officials, teachers, healthcare workers and families could end up dealing with the consequences. Campaign websites and activist groups can help explain the politics, but the statutory language is where the real powers sit.</w:t>
      </w:r>
      <w:r/>
    </w:p>
    <w:p>
      <w:r/>
      <w:r>
        <w:t>Most importantly, separate the emotional claim from the actual change in law. If a measure is advertised as protecting children, ask which children, from what specific harm and at what cost. Your ballot deserves that extra few minutes.</w:t>
      </w:r>
      <w:r/>
    </w:p>
    <w:p>
      <w:r/>
      <w:r>
        <w:t>Small words on a ballot can create very large consequences.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[7]</w:t>
        </w:r>
      </w:hyperlink>
      <w:r>
        <w:t xml:space="preserve">- Paragraph 2: </w:t>
      </w:r>
      <w:hyperlink r:id="rId12">
        <w:r>
          <w:rPr>
            <w:color w:val="0000EE"/>
            <w:u w:val="single"/>
          </w:rPr>
          <w:t>[6]</w:t>
        </w:r>
      </w:hyperlink>
      <w:r>
        <w:t xml:space="preserve">, </w:t>
      </w:r>
      <w:hyperlink r:id="rId11">
        <w:r>
          <w:rPr>
            <w:color w:val="0000EE"/>
            <w:u w:val="single"/>
          </w:rPr>
          <w:t>[7]</w:t>
        </w:r>
      </w:hyperlink>
      <w:r>
        <w:t xml:space="preserve">- Paragraph 3: </w:t>
      </w:r>
      <w:hyperlink r:id="rId10">
        <w:r>
          <w:rPr>
            <w:color w:val="0000EE"/>
            <w:u w:val="single"/>
          </w:rPr>
          <w:t>[3]</w:t>
        </w:r>
      </w:hyperlink>
      <w:r>
        <w:t xml:space="preserve">, </w:t>
      </w:r>
      <w:hyperlink r:id="rId13">
        <w:r>
          <w:rPr>
            <w:color w:val="0000EE"/>
            <w:u w:val="single"/>
          </w:rPr>
          <w:t>[4]</w:t>
        </w:r>
      </w:hyperlink>
      <w:r>
        <w:t xml:space="preserve">- Paragraph 4: </w:t>
      </w:r>
      <w:hyperlink r:id="rId14">
        <w:r>
          <w:rPr>
            <w:color w:val="0000EE"/>
            <w:u w:val="single"/>
          </w:rPr>
          <w:t>[5]</w:t>
        </w:r>
      </w:hyperlink>
      <w:r>
        <w:t xml:space="preserve">, </w:t>
      </w:r>
      <w:hyperlink r:id="rId11">
        <w:r>
          <w:rPr>
            <w:color w:val="0000EE"/>
            <w:u w:val="single"/>
          </w:rPr>
          <w:t>[7]</w:t>
        </w:r>
      </w:hyperlink>
      <w:r>
        <w:t xml:space="preserve">- Paragraph 5: </w:t>
      </w:r>
      <w:hyperlink r:id="rId13">
        <w:r>
          <w:rPr>
            <w:color w:val="0000EE"/>
            <w:u w:val="single"/>
          </w:rPr>
          <w:t>[4]</w:t>
        </w:r>
      </w:hyperlink>
      <w:r>
        <w:t xml:space="preserve">, </w:t>
      </w:r>
      <w:hyperlink r:id="rId12">
        <w:r>
          <w:rPr>
            <w:color w:val="0000EE"/>
            <w:u w:val="single"/>
          </w:rPr>
          <w:t>[6]</w:t>
        </w:r>
      </w:hyperlink>
      <w:r>
        <w:t xml:space="preserve">- Paragraph 6: </w:t>
      </w:r>
      <w:hyperlink r:id="rId10">
        <w:r>
          <w:rPr>
            <w:color w:val="0000EE"/>
            <w:u w:val="single"/>
          </w:rPr>
          <w:t>[3]</w:t>
        </w:r>
      </w:hyperlink>
      <w:r>
        <w:t xml:space="preserve">, </w:t>
      </w:r>
      <w:hyperlink r:id="rId11">
        <w:r>
          <w:rPr>
            <w:color w:val="0000EE"/>
            <w:u w:val="single"/>
          </w:rPr>
          <w:t>[7]</w:t>
        </w:r>
      </w:hyperlink>
      <w:r>
        <w:t xml:space="preserve">- Paragraph 7: </w:t>
      </w:r>
      <w:hyperlink r:id="rId13">
        <w:r>
          <w:rPr>
            <w:color w:val="0000EE"/>
            <w:u w:val="single"/>
          </w:rPr>
          <w:t>[4]</w:t>
        </w:r>
      </w:hyperlink>
      <w:r>
        <w:t xml:space="preserve">, </w:t>
      </w:r>
      <w:hyperlink r:id="rId12">
        <w:r>
          <w:rPr>
            <w:color w:val="0000EE"/>
            <w:u w:val="single"/>
          </w:rPr>
          <w:t>[6]</w:t>
        </w:r>
      </w:hyperlink>
      <w:r>
        <w:t xml:space="preserve">- Paragraph 8: </w:t>
      </w:r>
      <w:hyperlink r:id="rId14">
        <w:r>
          <w:rPr>
            <w:color w:val="0000EE"/>
            <w:u w:val="single"/>
          </w:rPr>
          <w:t>[5]</w:t>
        </w:r>
      </w:hyperlink>
      <w:r>
        <w:t xml:space="preserve">, </w:t>
      </w:r>
      <w:hyperlink r:id="rId11">
        <w:r>
          <w:rPr>
            <w:color w:val="0000EE"/>
            <w:u w:val="single"/>
          </w:rPr>
          <w:t>[7]</w:t>
        </w:r>
      </w:hyperlink>
      <w:r>
        <w:t xml:space="preserve">- Paragraph 9: </w:t>
      </w:r>
      <w:hyperlink r:id="rId10">
        <w:r>
          <w:rPr>
            <w:color w:val="0000EE"/>
            <w:u w:val="single"/>
          </w:rPr>
          <w:t>[3]</w:t>
        </w:r>
      </w:hyperlink>
      <w:r>
        <w:t xml:space="preserve">, </w:t>
      </w:r>
      <w:hyperlink r:id="rId13">
        <w:r>
          <w:rPr>
            <w:color w:val="0000EE"/>
            <w:u w:val="single"/>
          </w:rPr>
          <w:t>[4]</w:t>
        </w:r>
      </w:hyperlink>
      <w:r>
        <w:t xml:space="preserve">- Paragraph 10: </w:t>
      </w:r>
      <w:hyperlink r:id="rId12">
        <w:r>
          <w:rPr>
            <w:color w:val="0000EE"/>
            <w:u w:val="single"/>
          </w:rPr>
          <w:t>[6]</w:t>
        </w:r>
      </w:hyperlink>
      <w:r>
        <w:t xml:space="preserve">, </w:t>
      </w:r>
      <w:hyperlink r:id="rId11">
        <w:r>
          <w:rPr>
            <w:color w:val="0000EE"/>
            <w:u w:val="single"/>
          </w:rPr>
          <w:t>[7]</w:t>
        </w:r>
      </w:hyperlink>
      <w:r>
        <w:t xml:space="preserve">- Paragraph 11: </w:t>
      </w:r>
      <w:hyperlink r:id="rId13">
        <w:r>
          <w:rPr>
            <w:color w:val="0000EE"/>
            <w:u w:val="single"/>
          </w:rPr>
          <w:t>[4]</w:t>
        </w:r>
      </w:hyperlink>
      <w:r>
        <w:t xml:space="preserve">, </w:t>
      </w:r>
      <w:hyperlink r:id="rId14">
        <w:r>
          <w:rPr>
            <w:color w:val="0000EE"/>
            <w:u w:val="single"/>
          </w:rPr>
          <w:t>[5]</w:t>
        </w:r>
      </w:hyperlink>
      <w:r>
        <w:t xml:space="preserve">- Paragraph 12: </w:t>
      </w:r>
      <w:hyperlink r:id="rId12">
        <w:r>
          <w:rPr>
            <w:color w:val="0000EE"/>
            <w:u w:val="single"/>
          </w:rPr>
          <w:t>[6]</w:t>
        </w:r>
      </w:hyperlink>
      <w:r>
        <w:t xml:space="preserve">, </w:t>
      </w:r>
      <w:hyperlink r:id="rId11">
        <w:r>
          <w:rPr>
            <w:color w:val="0000EE"/>
            <w:u w:val="single"/>
          </w:rPr>
          <w:t>[7]</w:t>
        </w:r>
      </w:hyperlink>
      <w:r>
        <w:t xml:space="preserve">- Paragraph 13: </w:t>
      </w:r>
      <w:hyperlink r:id="rId10">
        <w:r>
          <w:rPr>
            <w:color w:val="0000EE"/>
            <w:u w:val="single"/>
          </w:rPr>
          <w:t>[3]</w:t>
        </w:r>
      </w:hyperlink>
      <w:r>
        <w:t xml:space="preserve">, </w:t>
      </w:r>
      <w:hyperlink r:id="rId13">
        <w:r>
          <w:rPr>
            <w:color w:val="0000EE"/>
            <w:u w:val="single"/>
          </w:rPr>
          <w:t>[4]</w:t>
        </w:r>
      </w:hyperlink>
      <w:r>
        <w:t xml:space="preserve">- Paragraph 14: </w:t>
      </w:r>
      <w:hyperlink r:id="rId14">
        <w:r>
          <w:rPr>
            <w:color w:val="0000EE"/>
            <w:u w:val="single"/>
          </w:rPr>
          <w:t>[5]</w:t>
        </w:r>
      </w:hyperlink>
      <w:r>
        <w:t xml:space="preserve">, </w:t>
      </w:r>
      <w:hyperlink r:id="rId12">
        <w:r>
          <w:rPr>
            <w:color w:val="0000EE"/>
            <w:u w:val="single"/>
          </w:rPr>
          <w:t>[6]</w:t>
        </w:r>
      </w:hyperlink>
      <w:r>
        <w:t xml:space="preserve">- Paragraph 15: </w:t>
      </w:r>
      <w:hyperlink r:id="rId15">
        <w:r>
          <w:rPr>
            <w:color w:val="0000EE"/>
            <w:u w:val="single"/>
          </w:rPr>
          <w:t>[2]</w:t>
        </w:r>
      </w:hyperlink>
      <w:r>
        <w:t xml:space="preserve">, </w:t>
      </w:r>
      <w:hyperlink r:id="rId11">
        <w:r>
          <w:rPr>
            <w:color w:val="0000EE"/>
            <w:u w:val="single"/>
          </w:rPr>
          <w:t>[7]</w:t>
        </w:r>
      </w:hyperlink>
      <w:r>
        <w:t xml:space="preserve">- Paragraph 16: </w:t>
      </w:r>
      <w:hyperlink r:id="rId13">
        <w:r>
          <w:rPr>
            <w:color w:val="0000EE"/>
            <w:u w:val="single"/>
          </w:rPr>
          <w:t>[4]</w:t>
        </w:r>
      </w:hyperlink>
      <w:r>
        <w:t xml:space="preserve">, </w:t>
      </w:r>
      <w:hyperlink r:id="rId12">
        <w:r>
          <w:rPr>
            <w:color w:val="0000EE"/>
            <w:u w:val="single"/>
          </w:rPr>
          <w:t>[6]</w:t>
        </w:r>
      </w:hyperlink>
      <w:r>
        <w:t xml:space="preserve">- Paragraph 17: </w:t>
      </w:r>
      <w:hyperlink r:id="rId10">
        <w:r>
          <w:rPr>
            <w:color w:val="0000EE"/>
            <w:u w:val="single"/>
          </w:rPr>
          <w:t>[3]</w:t>
        </w:r>
      </w:hyperlink>
      <w:r>
        <w:t xml:space="preserve">, </w:t>
      </w:r>
      <w:hyperlink r:id="rId11">
        <w:r>
          <w:rPr>
            <w:color w:val="0000EE"/>
            <w:u w:val="single"/>
          </w:rPr>
          <w:t>[7]</w:t>
        </w:r>
      </w:hyperlink>
      <w:r>
        <w:t xml:space="preserve">- Paragraph 18: </w:t>
      </w:r>
      <w:hyperlink r:id="rId15">
        <w:r>
          <w:rPr>
            <w:color w:val="0000EE"/>
            <w:u w:val="single"/>
          </w:rPr>
          <w:t>[2]</w:t>
        </w:r>
      </w:hyperlink>
      <w:r>
        <w:t xml:space="preserve">, </w:t>
      </w:r>
      <w:hyperlink r:id="rId12">
        <w:r>
          <w:rPr>
            <w:color w:val="0000EE"/>
            <w:u w:val="single"/>
          </w:rPr>
          <w:t>[6]</w:t>
        </w:r>
      </w:hyperlink>
      <w:r>
        <w:t xml:space="preserve">- Paragraph 19: </w:t>
      </w:r>
      <w:hyperlink r:id="rId13">
        <w:r>
          <w:rPr>
            <w:color w:val="0000EE"/>
            <w:u w:val="single"/>
          </w:rPr>
          <w:t>[4]</w:t>
        </w:r>
      </w:hyperlink>
      <w:r>
        <w:t xml:space="preserve">, </w:t>
      </w:r>
      <w:hyperlink r:id="rId11">
        <w:r>
          <w:rPr>
            <w:color w:val="0000EE"/>
            <w:u w:val="single"/>
          </w:rPr>
          <w:t>[7]</w:t>
        </w:r>
      </w:hyperlink>
      <w:r>
        <w:t xml:space="preserve">- Paragraph 20: </w:t>
      </w:r>
      <w:hyperlink r:id="rId10">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https://www.importantcontext.news/p/transphobic-ballot-questions-reveal</w:t>
        </w:r>
      </w:hyperlink>
      <w:r>
        <w:t xml:space="preserve"> - Please view link - unable to able to access data</w:t>
      </w:r>
      <w:r/>
    </w:p>
    <w:p>
      <w:pPr>
        <w:pStyle w:val="ListNumber"/>
        <w:spacing w:line="240" w:lineRule="auto"/>
        <w:ind w:left="720"/>
      </w:pPr>
      <w:r/>
      <w:hyperlink r:id="rId15">
        <w:r>
          <w:rPr>
            <w:color w:val="0000EE"/>
            <w:u w:val="single"/>
          </w:rPr>
          <w:t>https://www.axios.com/local/seattle/2026/09/10/washington-election-usps-mail-delays-ballot-drop-boxes</w:t>
        </w:r>
      </w:hyperlink>
      <w:r>
        <w:t xml:space="preserve"> - Washington election officials are urging voters to use ballot drop boxes instead of mailing their ballots for the upcoming vote-by-mail election due to delays caused by the U.S. Postal Service. This recommendation follows an increase in ballot rejections due to late postmarks during the state's August primary—1.1% of ballots were rejected, up from 0.8% in 2024. State law mandates that ballots must be postmarked by Election Day to be counted, making timely mailing crucial. Washington Secretary of State Steve Hobbs and U.S. Senator Maria Cantwell blame the rise in late postmarks on recent changes in USPS procedures, which they argue especially disadvantage voters in rural areas. While the Postal Service says voters can request a hand-postmark at post offices, election officials suggest drop boxes as a more reliable option. King County, in particular, has emphasized their use since mail delivery changes last year. These changes are separate from President Trump's 2026 executive order on mail-in voting, which remains legally contested. Ballots are scheduled to be mailed to registered voters in mid-October.</w:t>
      </w:r>
      <w:r/>
    </w:p>
    <w:p>
      <w:pPr>
        <w:pStyle w:val="ListNumber"/>
        <w:spacing w:line="240" w:lineRule="auto"/>
        <w:ind w:left="720"/>
      </w:pPr>
      <w:r/>
      <w:hyperlink r:id="rId10">
        <w:r>
          <w:rPr>
            <w:color w:val="0000EE"/>
            <w:u w:val="single"/>
          </w:rPr>
          <w:t>https://news.ballotpedia.org/2024/01/03/lets-go-washington-pac-submitted-2-6-million-signatures-for-six-ballot-initiatives-that-could-appear-on-the-ballot-in-nov-2024/</w:t>
        </w:r>
      </w:hyperlink>
      <w:r>
        <w:t xml:space="preserve"> - Let's Go Washington, a campaign supporting six citizen-initiated ballot measures in Washington, submitted 2.6 million signatures for the initiatives before the deadline on Dec. 29, 2023. At least 324,516 signatures must be found to be valid for each initiative. That's 1.95 million total signatures between the six initiatives. State Rep. Jim Walsh (R-19) sponsored the six initiatives, along with Let’s Go Washington. Brian Heywood, CEO of Taiyo Pacific Partners, founded the PAC. Heywood has also donated to Republicans. Walsh said, "The people of Washington, by and large, believe they are taxed too much, and the state is spending out of control. We need to prioritize things." The six citizen-initiated ballot measures are: Initiative 2081 would provide parents with a right, in statute, to review educational materials, receive certain notifications, and opt out of sexual health education. The legislature has three options: (1) The legislature can adopt an Initiative to the Legislature, in which case the initiative is enacted into law without a vote of electors; (2) The legislature can reject or not act on the initiative, in which case the initiative is placed on the ballot at the next state general election; or (3) The legislature can approve an alternative to the proposed initiative, in which case both the original proposal and the legislative alternative are placed on the ballot at the next state general election. Washington is a Democratic trifecta, meaning Democrats hold the governorship, a majority in the state senate, and a majority in the state house. The Washington State Democratic Party opposes the six initiatives. Let's Go Washington has raised $2.5 million and spent $6.93 million. Brian Heywood, founder of the committee, contributed $520,000 in cash and $1.2 million in in-kind contributions. Brian Heywood of Let's Go Washington said, "Democrats in Washington state have had 40 years [of party control] to fix the damn system, but they can’t seem to get enough of your taxes to satisfy their huge greed." The Stop Greed PAC, sponsored by the Permanent Defense PAC and the Northwest Progressive Institute, is leading the campaign in opposition to the initiatives. The committee has raised $50 and spent $0. The Stop Greed campaign stated, "These initiatives, sponsored by Washington State Republican Party Chair Jim Walsh and funded by multimillionaire Brian Heywood, primarily seek to repeal recently passed laws enacted by our elected representatives to help Washington achieve a cleaner, safer, and more prosperous future. Passage of any of these measures would undo years of collaborative, hard-won progress on climate action, revenue fairness, public safety, and access to healthcare." Since 1914, Washington citizens have filed 1,728 Initiatives to the Legislature, of which, six were enacted by the state legislature and 32 were certified for the ballot. Of the 32 measures on the ballot, 17 (53%) were approved and 15 (47%) were rejected.</w:t>
      </w:r>
      <w:r/>
    </w:p>
    <w:p>
      <w:pPr>
        <w:pStyle w:val="ListNumber"/>
        <w:spacing w:line="240" w:lineRule="auto"/>
        <w:ind w:left="720"/>
      </w:pPr>
      <w:r/>
      <w:hyperlink r:id="rId13">
        <w:r>
          <w:rPr>
            <w:color w:val="0000EE"/>
            <w:u w:val="single"/>
          </w:rPr>
          <w:t>https://www.spokesman.com/stories/2024/sep/24/group-behind-washington-ballot-initiatives-accuses/</w:t>
        </w:r>
      </w:hyperlink>
      <w:r>
        <w:t xml:space="preserve"> - Just weeks after being accused of violating anti-corruption laws, Let’s Go Washington has accused the state government of using its authority to sway voters. The complaint, filed Monday with the state Public Disclosure Commission, alleges the Washington State Department of Commerce broke state law by planning to send out utility rebate checks timed to reach voters before ballots for the upcoming November election are distributed.</w:t>
      </w:r>
      <w:r/>
    </w:p>
    <w:p>
      <w:pPr>
        <w:pStyle w:val="ListNumber"/>
        <w:spacing w:line="240" w:lineRule="auto"/>
        <w:ind w:left="720"/>
      </w:pPr>
      <w:r/>
      <w:hyperlink r:id="rId14">
        <w:r>
          <w:rPr>
            <w:color w:val="0000EE"/>
            <w:u w:val="single"/>
          </w:rPr>
          <w:t>https://www.cascadepbs.org/environment/2024/05/wa-conservative-groups-are-banding-together-dump-carbon-pricing/</w:t>
        </w:r>
      </w:hyperlink>
      <w:r>
        <w:t xml:space="preserve"> - Redmond hedge fund manager Brian Heywood is spending millions to end cap-and-invest. The initiative has a web of organizations — and Brandi Kruse — backing it.</w:t>
      </w:r>
      <w:r/>
    </w:p>
    <w:p>
      <w:pPr>
        <w:pStyle w:val="ListNumber"/>
        <w:spacing w:line="240" w:lineRule="auto"/>
        <w:ind w:left="720"/>
      </w:pPr>
      <w:r/>
      <w:hyperlink r:id="rId12">
        <w:r>
          <w:rPr>
            <w:color w:val="0000EE"/>
            <w:u w:val="single"/>
          </w:rPr>
          <w:t>https://www.wrongforwashington.org/index.php</w:t>
        </w:r>
      </w:hyperlink>
      <w:r>
        <w:t xml:space="preserve"> - Three statewide initiatives from a wealthy hedge fund mogul will appear at the top of your November 2026 ballot. They're all wrong for Washington: Repeals the million dollar earners tax that will help fund our schools &amp; colleges; Strips legal safeguards protecting student records and weakens parents' rights; Denies youth opportunities to participate in athletics with their friends. 55 days until ballots are due — Tuesday, November 3rd, 2026. One wealthy Donald Trump donor with extreme views bought his way onto our general election ballot three times this year. Each of his measures is wrong for Washington and would harm our communities. Brian Heywood Brian Heywood. Hedge fund mogul Brian Heywood ran a similar play in 2024. Voters overwhelmingly rejected three of his four measures, but Heywood ignored the message they sent him.</w:t>
      </w:r>
      <w:r/>
    </w:p>
    <w:p>
      <w:pPr>
        <w:pStyle w:val="ListNumber"/>
        <w:spacing w:line="240" w:lineRule="auto"/>
        <w:ind w:left="720"/>
      </w:pPr>
      <w:r/>
      <w:hyperlink r:id="rId11">
        <w:r>
          <w:rPr>
            <w:color w:val="0000EE"/>
            <w:u w:val="single"/>
          </w:rPr>
          <w:t>https://www.fusewashington.org/news/blog/republican-initiative-slate-your-ballot</w:t>
        </w:r>
      </w:hyperlink>
      <w:r>
        <w:t xml:space="preserve"> - Right-wing Republicans are responsible for four hyperpartisan initiatives on the ballot this November. All are sponsored by State Representative and MAGA Republican Party Chair Jim Walsh. And all are bankrolled by conservative Republican hedge fund manager Brian Heywood, who spent more than $6 million on paid signature gatherers to qualify these measures to the legislature. They will appear on our November ballot: Initiative I-2109 (I-2109) repeals Washington's current capital gains excise tax on stock market profits greater than $250,000. This tax break for the wealthy will eliminate nearly $900 million in yearly funding for early learning, child care, K-12 education, and school construction. Initiative 2117 (I-2117) repeals the 2021</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mportantcontext.news/p/transphobic-ballot-questions-reveal" TargetMode="External"/><Relationship Id="rId10" Type="http://schemas.openxmlformats.org/officeDocument/2006/relationships/hyperlink" Target="https://news.ballotpedia.org/2024/01/03/lets-go-washington-pac-submitted-2-6-million-signatures-for-six-ballot-initiatives-that-could-appear-on-the-ballot-in-nov-2024/" TargetMode="External"/><Relationship Id="rId11" Type="http://schemas.openxmlformats.org/officeDocument/2006/relationships/hyperlink" Target="https://www.fusewashington.org/news/blog/republican-initiative-slate-your-ballot" TargetMode="External"/><Relationship Id="rId12" Type="http://schemas.openxmlformats.org/officeDocument/2006/relationships/hyperlink" Target="https://www.wrongforwashington.org/index.php" TargetMode="External"/><Relationship Id="rId13" Type="http://schemas.openxmlformats.org/officeDocument/2006/relationships/hyperlink" Target="https://www.spokesman.com/stories/2024/sep/24/group-behind-washington-ballot-initiatives-accuses/" TargetMode="External"/><Relationship Id="rId14" Type="http://schemas.openxmlformats.org/officeDocument/2006/relationships/hyperlink" Target="https://www.cascadepbs.org/environment/2024/05/wa-conservative-groups-are-banding-together-dump-carbon-pricing/" TargetMode="External"/><Relationship Id="rId15" Type="http://schemas.openxmlformats.org/officeDocument/2006/relationships/hyperlink" Target="https://www.axios.com/local/seattle/2026/09/10/washington-election-usps-mail-delays-ballot-drop-box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