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Victoria’s Anti-LGBTIQA+ Hate Crimes Report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major Victorian inquiry has warned that online radicalisation, dating-app attacks and under-reporting are creating serious risks for LGBTIQA+ communities. Its recommendations now put governments, police and technology platforms under pressure to act.</w:t>
      </w:r>
      <w:r/>
    </w:p>
    <w:p>
      <w:pPr>
        <w:pStyle w:val="Heading2"/>
      </w:pPr>
      <w:r>
        <w:t>Essential Takeaways</w:t>
      </w:r>
      <w:r/>
      <w:r/>
    </w:p>
    <w:p>
      <w:pPr>
        <w:pStyle w:val="ListBullet"/>
        <w:spacing w:line="240" w:lineRule="auto"/>
        <w:ind w:left="720"/>
      </w:pPr>
      <w:r/>
      <w:r>
        <w:rPr>
          <w:b/>
        </w:rPr>
        <w:t>Technology is changing the threat:</w:t>
      </w:r>
      <w:r>
        <w:t xml:space="preserve"> Algorithms, artificial intelligence and dating apps can help spread hostility or facilitate targeted attacks.</w:t>
      </w:r>
      <w:r/>
    </w:p>
    <w:p>
      <w:pPr>
        <w:pStyle w:val="ListBullet"/>
        <w:spacing w:line="240" w:lineRule="auto"/>
        <w:ind w:left="720"/>
      </w:pPr>
      <w:r/>
      <w:r>
        <w:rPr>
          <w:b/>
        </w:rPr>
        <w:t>Many offenders aren’t committed ideologues:</w:t>
      </w:r>
      <w:r>
        <w:t xml:space="preserve"> The inquiry found that thrill-seeking can be a major driver of anti-LGBTIQA+ violence.</w:t>
      </w:r>
      <w:r/>
    </w:p>
    <w:p>
      <w:pPr>
        <w:pStyle w:val="ListBullet"/>
        <w:spacing w:line="240" w:lineRule="auto"/>
        <w:ind w:left="720"/>
      </w:pPr>
      <w:r/>
      <w:r>
        <w:rPr>
          <w:b/>
        </w:rPr>
        <w:t>Under-reporting remains widespread:</w:t>
      </w:r>
      <w:r>
        <w:t xml:space="preserve"> Fear of being outed, shame and mistrust of police can keep victims from seeking help.</w:t>
      </w:r>
      <w:r/>
    </w:p>
    <w:p>
      <w:pPr>
        <w:pStyle w:val="ListBullet"/>
        <w:spacing w:line="240" w:lineRule="auto"/>
        <w:ind w:left="720"/>
      </w:pPr>
      <w:r/>
      <w:r>
        <w:rPr>
          <w:b/>
        </w:rPr>
        <w:t>The risk could escalate:</w:t>
      </w:r>
      <w:r>
        <w:t xml:space="preserve"> Experts warned that harassment, surveillance and assaults can form a pathway towards larger extremist attacks.</w:t>
      </w:r>
      <w:r/>
    </w:p>
    <w:p>
      <w:pPr>
        <w:pStyle w:val="ListBullet"/>
        <w:spacing w:line="240" w:lineRule="auto"/>
        <w:ind w:left="720"/>
      </w:pPr>
      <w:r/>
      <w:r>
        <w:rPr>
          <w:b/>
        </w:rPr>
        <w:t>The government must respond:</w:t>
      </w:r>
      <w:r>
        <w:t xml:space="preserve"> Victoria is required to answer the inquiry’s 35 recommendations in Parliament within six months.</w:t>
      </w:r>
      <w:r/>
      <w:r/>
    </w:p>
    <w:p>
      <w:pPr>
        <w:pStyle w:val="Heading2"/>
      </w:pPr>
      <w:r>
        <w:t>Why this inquiry matters now</w:t>
      </w:r>
      <w:r/>
    </w:p>
    <w:p>
      <w:r/>
      <w:r>
        <w:t>Victoria’s parliamentary inquiry has produced a stark warning: anti-LGBTIQA+ violence isn’t only an online problem or a series of isolated incidents. It can move between digital spaces, dating apps, public venues and real-world attacks, creating a threat that feels both immediate and difficult to contain.</w:t>
      </w:r>
      <w:r/>
    </w:p>
    <w:p>
      <w:r/>
      <w:r>
        <w:t xml:space="preserve">The committee received 84 submissions and heard evidence over two days. Its report sets out 41 findings and 35 recommendations, reflecting concerns from researchers, community organisations and people with lived experience. The terms of reference placed particular focus on the scale of hate crimes, their causes and the effectiveness of current responses. </w:t>
      </w:r>
      <w:hyperlink r:id="rId9">
        <w:r>
          <w:rPr>
            <w:color w:val="0000EE"/>
            <w:u w:val="single"/>
          </w:rPr>
          <w:t>[3]</w:t>
        </w:r>
      </w:hyperlink>
      <w:r>
        <w:t xml:space="preserve">, </w:t>
      </w:r>
      <w:hyperlink r:id="rId10">
        <w:r>
          <w:rPr>
            <w:color w:val="0000EE"/>
            <w:u w:val="single"/>
          </w:rPr>
          <w:t>[5]</w:t>
        </w:r>
      </w:hyperlink>
      <w:r/>
    </w:p>
    <w:p>
      <w:r/>
      <w:r>
        <w:t>For many queer people, that risk isn’t abstract. A threatening message, a suspicious profile or a hostile encounter can turn an ordinary night out into a calculation about personal safety. That quiet mental arithmetic is one reason the report’s findings have resonated so strongly.</w:t>
      </w:r>
      <w:r/>
    </w:p>
    <w:p>
      <w:pPr>
        <w:pStyle w:val="Heading2"/>
      </w:pPr>
      <w:r>
        <w:t>Social media can turn prejudice into a pathway to violence</w:t>
      </w:r>
      <w:r/>
    </w:p>
    <w:p>
      <w:r/>
      <w:r>
        <w:t>The inquiry found that online platforms can do more than host hateful material. Their recommendation systems may repeatedly direct users towards increasingly extreme content, sometimes wrapped in the softer language of dating advice, fitness or men’s self-improvement.</w:t>
      </w:r>
      <w:r/>
    </w:p>
    <w:p>
      <w:r/>
      <w:r>
        <w:t xml:space="preserve">Dr Josh Roose of Deakin University told the committee that social media had been overwhelmed by hatred, while RMIT lecturer Jarryd Bartle described online spaces where assaults are filmed, celebrated and presented as a form of vigilante justice. RMIT’s research and commentary have also highlighted how digital radicalisation can connect with hostility towards LGBTIQA+ people. </w:t>
      </w:r>
      <w:hyperlink r:id="rId10">
        <w:r>
          <w:rPr>
            <w:color w:val="0000EE"/>
            <w:u w:val="single"/>
          </w:rPr>
          <w:t>[5]</w:t>
        </w:r>
      </w:hyperlink>
      <w:r>
        <w:t xml:space="preserve">, </w:t>
      </w:r>
      <w:hyperlink r:id="rId11">
        <w:r>
          <w:rPr>
            <w:color w:val="0000EE"/>
            <w:u w:val="single"/>
          </w:rPr>
          <w:t>[6]</w:t>
        </w:r>
      </w:hyperlink>
      <w:r/>
    </w:p>
    <w:p>
      <w:r/>
      <w:r>
        <w:t>Artificial intelligence adds another layer. It can be used to create convincing fake images, impersonation accounts and fabricated dating profiles, making it harder for users to judge whether the person on screen is genuine. The result is a disturbing blend of old-fashioned intimidation and sleek new tools.</w:t>
      </w:r>
      <w:r/>
    </w:p>
    <w:p>
      <w:r/>
      <w:r>
        <w:t xml:space="preserve">The Human Rights Commission of Victoria has separately stressed that Victoria’s anti-hate framework is intended to address serious vilification and protect communities from conduct that causes harm. But legal protections alone won’t solve the design problems that allow abusive content to travel quickly and anonymously. </w:t>
      </w:r>
      <w:hyperlink r:id="rId12">
        <w:r>
          <w:rPr>
            <w:color w:val="0000EE"/>
            <w:u w:val="single"/>
          </w:rPr>
          <w:t>[4]</w:t>
        </w:r>
      </w:hyperlink>
      <w:r/>
    </w:p>
    <w:p>
      <w:pPr>
        <w:pStyle w:val="Heading2"/>
      </w:pPr>
      <w:r>
        <w:t>Why thrill-seeking offenders are so dangerous</w:t>
      </w:r>
      <w:r/>
    </w:p>
    <w:p>
      <w:r/>
      <w:r>
        <w:t>One of the inquiry’s most striking conclusions was that as many as three-quarters of offenders may be motivated less by a fixed ideological commitment than by excitement, status or the desire to perform violence for an audience.</w:t>
      </w:r>
      <w:r/>
    </w:p>
    <w:p>
      <w:r/>
      <w:r>
        <w:t>That doesn’t make the attacks less hateful or less damaging. In some cases, perpetrators may choose LGBTIQA+ people because they believe those victims are less likely to report what happened, particularly if they’re closeted or worried about being exposed.</w:t>
      </w:r>
      <w:r/>
    </w:p>
    <w:p>
      <w:r/>
      <w:r>
        <w:t xml:space="preserve">The vulnerability can be even greater for people from some migrant, culturally diverse and faith communities, as well as trans and gender-diverse people. Community advocates have urged governments to build support that is confidential, culturally aware and available outside standard office hours. </w:t>
      </w:r>
      <w:hyperlink r:id="rId13">
        <w:r>
          <w:rPr>
            <w:color w:val="0000EE"/>
            <w:u w:val="single"/>
          </w:rPr>
          <w:t>[7]</w:t>
        </w:r>
      </w:hyperlink>
      <w:r/>
    </w:p>
    <w:p>
      <w:r/>
      <w:r>
        <w:t>This is where language matters. Calling an assault a prank, a stunt or a thrill-seeking act can disguise the social conditions that make it possible. The victim still experiences fear, injury and humiliation, while the offender may assume the consequences will be minor.</w:t>
      </w:r>
      <w:r/>
    </w:p>
    <w:p>
      <w:pPr>
        <w:pStyle w:val="Heading2"/>
      </w:pPr>
      <w:r>
        <w:t>Under-reporting leaves victims carrying the burden</w:t>
      </w:r>
      <w:r/>
    </w:p>
    <w:p>
      <w:r/>
      <w:r>
        <w:t>The inquiry heard that many LGBTIQA+ people hesitate to contact police because they fear dismissal, shame or being forced to disclose personal information. For someone already shaken by an attack, the prospect of explaining their identity to unfamiliar officers can feel like another risk rather than a route to safety.</w:t>
      </w:r>
      <w:r/>
    </w:p>
    <w:p>
      <w:r/>
      <w:r>
        <w:t>Evidence about missed CCTV, weak investigations and lenient outcomes further damaged confidence in the justice system. The report pointed to cases in which alleged offenders were not identified or faced penalties that victims and advocates considered wholly out of proportion to the harm caused.</w:t>
      </w:r>
      <w:r/>
    </w:p>
    <w:p>
      <w:r/>
      <w:r>
        <w:t xml:space="preserve">Victoria’s updated anti-hate laws provide an important legal framework, but their impact depends on how consistently incidents are recognised, recorded and investigated. Clearer training, better evidence gathering and independent evaluation of police awareness programmes are therefore practical necessities, not bureaucratic extras. </w:t>
      </w:r>
      <w:hyperlink r:id="rId12">
        <w:r>
          <w:rPr>
            <w:color w:val="0000EE"/>
            <w:u w:val="single"/>
          </w:rPr>
          <w:t>[4]</w:t>
        </w:r>
      </w:hyperlink>
      <w:r>
        <w:t xml:space="preserve">, </w:t>
      </w:r>
      <w:hyperlink r:id="rId13">
        <w:r>
          <w:rPr>
            <w:color w:val="0000EE"/>
            <w:u w:val="single"/>
          </w:rPr>
          <w:t>[7]</w:t>
        </w:r>
      </w:hyperlink>
      <w:r/>
    </w:p>
    <w:p>
      <w:r/>
      <w:r>
        <w:t>Anonymous case management and trauma-informed services could also make a real difference. Sometimes the first step isn’t a formal complaint. It’s speaking to someone who understands the situation without demanding a decision immediately.</w:t>
      </w:r>
      <w:r/>
    </w:p>
    <w:p>
      <w:pPr>
        <w:pStyle w:val="Heading2"/>
      </w:pPr>
      <w:r>
        <w:t>A major attack is not an impossible scenario</w:t>
      </w:r>
      <w:r/>
    </w:p>
    <w:p>
      <w:r/>
      <w:r>
        <w:t>Experts told the committee that a serious attack against LGBTIQA+ people or venues cannot be dismissed as unthinkable. The warning is based on a pattern: dehumanising rhetoric, threats, harassment, surveillance, assaults and online praise for violence can gradually create the conditions for escalation.</w:t>
      </w:r>
      <w:r/>
    </w:p>
    <w:p>
      <w:r/>
      <w:r>
        <w:t xml:space="preserve">That doesn’t mean every abusive post is a sign of terrorism. It does mean authorities should pay attention to the wider pathway, rather than waiting for a mass-casualty event before treating warning signs seriously. The Guardian’s reporting has similarly examined the relationship between far-right influencers, homophobic violence and dating-app targeting. </w:t>
      </w:r>
      <w:hyperlink r:id="rId11">
        <w:r>
          <w:rPr>
            <w:color w:val="0000EE"/>
            <w:u w:val="single"/>
          </w:rPr>
          <w:t>[6]</w:t>
        </w:r>
      </w:hyperlink>
      <w:r/>
    </w:p>
    <w:p>
      <w:r/>
      <w:r>
        <w:t>LGBTIQA+ venues and events are visible, social and often publicly identifiable, which can make them attractive targets for people seeking attention. Stronger information-sharing between police, venues and community groups could help identify risks earlier while avoiding a response that makes everyday queer life feel permanently policed.</w:t>
      </w:r>
      <w:r/>
    </w:p>
    <w:p>
      <w:r/>
      <w:r>
        <w:t xml:space="preserve">As Equality Australia has argued, governments now need to move from concern to implementation. The question is no longer whether the recommendations sound sensible. It’s whether they’re funded, measured and delivered. </w:t>
      </w:r>
      <w:hyperlink r:id="rId13">
        <w:r>
          <w:rPr>
            <w:color w:val="0000EE"/>
            <w:u w:val="single"/>
          </w:rPr>
          <w:t>[7]</w:t>
        </w:r>
      </w:hyperlink>
      <w:r/>
    </w:p>
    <w:p>
      <w:pPr>
        <w:pStyle w:val="Heading2"/>
      </w:pPr>
      <w:r>
        <w:t>What happens next for apps, schools and government?</w:t>
      </w:r>
      <w:r/>
    </w:p>
    <w:p>
      <w:r/>
      <w:r>
        <w:t>The committee recommended more outreach for diverse LGBTIQA+ communities, improved gender-inclusivity and media-literacy education in schools, and an independent review of Victoria Police’s LGBTIQA+ training.</w:t>
      </w:r>
      <w:r/>
    </w:p>
    <w:p>
      <w:r/>
      <w:r>
        <w:t>It also backed consideration of restorative justice, hate-crime diversion and deradicalisation programmes, particularly for young men. Done properly, those approaches could address harmful behaviour before it becomes more serious, while keeping victim safety and accountability at the centre.</w:t>
      </w:r>
      <w:r/>
    </w:p>
    <w:p>
      <w:r/>
      <w:r>
        <w:t xml:space="preserve">Dating apps have also been placed under scrutiny. The report called for stronger participation in an Australian Online Dating Code and urged governments to explore whether platforms should face greater responsibility when their systems help drive users towards content that incites violence. </w:t>
      </w:r>
      <w:hyperlink r:id="rId9">
        <w:r>
          <w:rPr>
            <w:color w:val="0000EE"/>
            <w:u w:val="single"/>
          </w:rPr>
          <w:t>[3]</w:t>
        </w:r>
      </w:hyperlink>
      <w:r>
        <w:t xml:space="preserve">, </w:t>
      </w:r>
      <w:hyperlink r:id="rId13">
        <w:r>
          <w:rPr>
            <w:color w:val="0000EE"/>
            <w:u w:val="single"/>
          </w:rPr>
          <w:t>[7]</w:t>
        </w:r>
      </w:hyperlink>
      <w:r/>
    </w:p>
    <w:p>
      <w:r/>
      <w:r>
        <w:t>The Victorian Government must respond to the recommendations within six months. For community members, the hope is simple: that the final response won’t become another polished document that sits quietly on a shelf.</w:t>
      </w:r>
      <w:r/>
    </w:p>
    <w:p>
      <w:r/>
      <w:r>
        <w:t>Small changes can help, but safety will depend on whether institutions treat anti-LGBTIQA+ violence as a serious, preventable threat.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Paragraph 2: </w:t>
      </w:r>
      <w:hyperlink r:id="rId9">
        <w:r>
          <w:rPr>
            <w:color w:val="0000EE"/>
            <w:u w:val="single"/>
          </w:rPr>
          <w:t>[3]</w:t>
        </w:r>
      </w:hyperlink>
      <w:r>
        <w:t xml:space="preserve">, </w:t>
      </w:r>
      <w:hyperlink r:id="rId10">
        <w:r>
          <w:rPr>
            <w:color w:val="0000EE"/>
            <w:u w:val="single"/>
          </w:rPr>
          <w:t>[5]</w:t>
        </w:r>
      </w:hyperlink>
      <w:r>
        <w:t xml:space="preserve">- Paragraph 3: </w:t>
      </w:r>
      <w:hyperlink r:id="rId13">
        <w:r>
          <w:rPr>
            <w:color w:val="0000EE"/>
            <w:u w:val="single"/>
          </w:rPr>
          <w:t>[7]</w:t>
        </w:r>
      </w:hyperlink>
      <w:r>
        <w:t xml:space="preserve">, </w:t>
      </w:r>
      <w:hyperlink r:id="rId12">
        <w:r>
          <w:rPr>
            <w:color w:val="0000EE"/>
            <w:u w:val="single"/>
          </w:rPr>
          <w:t>[4]</w:t>
        </w:r>
      </w:hyperlink>
      <w:r>
        <w:t xml:space="preserve">- Paragraph 4: </w:t>
      </w:r>
      <w:hyperlink r:id="rId10">
        <w:r>
          <w:rPr>
            <w:color w:val="0000EE"/>
            <w:u w:val="single"/>
          </w:rPr>
          <w:t>[5]</w:t>
        </w:r>
      </w:hyperlink>
      <w:r>
        <w:t xml:space="preserve">, </w:t>
      </w:r>
      <w:hyperlink r:id="rId11">
        <w:r>
          <w:rPr>
            <w:color w:val="0000EE"/>
            <w:u w:val="single"/>
          </w:rPr>
          <w:t>[6]</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1">
        <w:r>
          <w:rPr>
            <w:color w:val="0000EE"/>
            <w:u w:val="single"/>
          </w:rPr>
          <w:t>[6]</w:t>
        </w:r>
      </w:hyperlink>
      <w:r>
        <w:t xml:space="preserve">, </w:t>
      </w:r>
      <w:hyperlink r:id="rId13">
        <w:r>
          <w:rPr>
            <w:color w:val="0000EE"/>
            <w:u w:val="single"/>
          </w:rPr>
          <w:t>[7]</w:t>
        </w:r>
      </w:hyperlink>
      <w:r>
        <w:t xml:space="preserve">- Paragraph 7: </w:t>
      </w:r>
      <w:hyperlink r:id="rId9">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https://www.starobserver.com.au/news/heres-everything-you-need-to-know-about-victorias-anti-lgbtiqa-hate-crimes-inquiry-report/243846</w:t>
        </w:r>
      </w:hyperlink>
      <w:r>
        <w:t xml:space="preserve"> - Please view link - unable to able to access data</w:t>
      </w:r>
      <w:r/>
    </w:p>
    <w:p>
      <w:pPr>
        <w:pStyle w:val="ListNumber"/>
        <w:spacing w:line="240" w:lineRule="auto"/>
        <w:ind w:left="720"/>
      </w:pPr>
      <w:r/>
      <w:hyperlink r:id="rId14">
        <w:r>
          <w:rPr>
            <w:color w:val="0000EE"/>
            <w:u w:val="single"/>
          </w:rPr>
          <w:t>https://www.starobserver.com.au/news/heres-everything-you-need-to-know-about-victorias-anti-lgbtiqa-hate-crimes-inquiry-report/243846</w:t>
        </w:r>
      </w:hyperlink>
      <w:r>
        <w:t xml:space="preserve"> - This article provides an overview of Victoria's parliamentary inquiry into anti-LGBTIQA+ hate crimes, highlighting key findings and recommendations. It discusses the role of social media algorithms and AI in amplifying anti-LGBTIQA+ violence, the prevalence of thrill-seeking perpetrators, and the inadequacy of justice outcomes for victims. The piece also addresses concerns about potential large-scale terror attacks against LGBTIQA+ Australians and outlines the committee's recommendations for government action, including funding community outreach programs and improving police training.</w:t>
      </w:r>
      <w:r/>
    </w:p>
    <w:p>
      <w:pPr>
        <w:pStyle w:val="ListNumber"/>
        <w:spacing w:line="240" w:lineRule="auto"/>
        <w:ind w:left="720"/>
      </w:pPr>
      <w:r/>
      <w:hyperlink r:id="rId9">
        <w:r>
          <w:rPr>
            <w:color w:val="0000EE"/>
            <w:u w:val="single"/>
          </w:rPr>
          <w:t>https://www.parliament.vic.gov.au/499268/contentassets/f991da43067346f9adead0960e8aa635/terms-of-reference-attachments/terms-of-reference---anti-lgbtiqa-hate-crimes.pdf</w:t>
        </w:r>
      </w:hyperlink>
      <w:r>
        <w:t xml:space="preserve"> - This document outlines the terms of reference for the Victorian Legislative Council's inquiry into anti-LGBTIQA+ hate crimes. It details the scope of the inquiry, including examining the scale and scope of such crimes in Victoria, the communication and recruitment methods of anti-LGBTIQA+ influencers and hate groups, and the role of social media and digital platform owners in preventing and responding to these crimes. The inquiry aims to report by 1 September 2026.</w:t>
      </w:r>
      <w:r/>
    </w:p>
    <w:p>
      <w:pPr>
        <w:pStyle w:val="ListNumber"/>
        <w:spacing w:line="240" w:lineRule="auto"/>
        <w:ind w:left="720"/>
      </w:pPr>
      <w:r/>
      <w:hyperlink r:id="rId12">
        <w:r>
          <w:rPr>
            <w:color w:val="0000EE"/>
            <w:u w:val="single"/>
          </w:rPr>
          <w:t>https://www.humanrights.vic.gov.au/resources/fact-sheet-explaining-victorias-new-anti-hate-laws/</w:t>
        </w:r>
      </w:hyperlink>
      <w:r>
        <w:t xml:space="preserve"> - This fact sheet explains Victoria's new anti-hate laws, which came into effect on 15 April 2026. It outlines the definitions of vilification under the Equal Opportunity Act 2010 and the Crimes Act 1958, specifying the grounds of vilification and the protected characteristics. The document also details the protections against hate speech and hateful behaviour targeting individuals or groups based on their identities, backgrounds, and personal characteristics.</w:t>
      </w:r>
      <w:r/>
    </w:p>
    <w:p>
      <w:pPr>
        <w:pStyle w:val="ListNumber"/>
        <w:spacing w:line="240" w:lineRule="auto"/>
        <w:ind w:left="720"/>
      </w:pPr>
      <w:r/>
      <w:hyperlink r:id="rId10">
        <w:r>
          <w:rPr>
            <w:color w:val="0000EE"/>
            <w:u w:val="single"/>
          </w:rPr>
          <w:t>https://www.rmit.edu.au/news/media-releases-and-expert-comments/2026/feb/anti-lgbtiqa-hate-crimes</w:t>
        </w:r>
      </w:hyperlink>
      <w:r>
        <w:t xml:space="preserve"> - RMIT University expert Dr Jeremie Bracka discusses the importance of truth-telling in Victoria's parliamentary inquiry into anti-LGBTIQA+ hate crimes. He emphasises that addressing contemporary hate requires confronting historical injustices, such as past criminalisation and state-sanctioned stigma against LGBTIQA+ communities. Dr Bracka advocates for a truth-telling process to strengthen institutional trust and democratic resilience, linking current hate crimes to their deeper structural and historical drivers.</w:t>
      </w:r>
      <w:r/>
    </w:p>
    <w:p>
      <w:pPr>
        <w:pStyle w:val="ListNumber"/>
        <w:spacing w:line="240" w:lineRule="auto"/>
        <w:ind w:left="720"/>
      </w:pPr>
      <w:r/>
      <w:hyperlink r:id="rId11">
        <w:r>
          <w:rPr>
            <w:color w:val="0000EE"/>
            <w:u w:val="single"/>
          </w:rPr>
          <w:t>https://www.theguardian.com/australia-news/2026/feb/18/far-right-influencers-homophobic-attacks-dating-apps-investigation-ntwnfb</w:t>
        </w:r>
      </w:hyperlink>
      <w:r>
        <w:t xml:space="preserve"> - This article reports on a Victorian parliamentary inquiry investigating the role of far-right 'manosphere' influencers in homophobic attacks. The inquiry examines how these influencers, who share misogynistic and homophobic 'alpha male' content, operate online and their potential influence on recent assaults targeting gay and bisexual men lured through fake dating app profiles. The investigation aims to understand the connection between online hate speech and real-world violence against LGBTIQA+ individuals.</w:t>
      </w:r>
      <w:r/>
    </w:p>
    <w:p>
      <w:pPr>
        <w:pStyle w:val="ListNumber"/>
        <w:spacing w:line="240" w:lineRule="auto"/>
        <w:ind w:left="720"/>
      </w:pPr>
      <w:r/>
      <w:hyperlink r:id="rId13">
        <w:r>
          <w:rPr>
            <w:color w:val="0000EE"/>
            <w:u w:val="single"/>
          </w:rPr>
          <w:t>https://www.equalityaustralia.org.au/equality-australia-urges-victorian-and-federal-governments-to-act-on-inquirys-recommendations-to-tackle-anti-lgbtiq-hate/</w:t>
        </w:r>
      </w:hyperlink>
      <w:r>
        <w:t xml:space="preserve"> - Equality Australia calls on Victorian and federal governments to act on the recommendations of the parliamentary inquiry into anti-LGBTIQ+ hate crimes. The report, tabled on 8 September 2026, includes 41 findings and 35 recommendations, such as stronger policing and justice responses, a whole-of-government prevention strategy, restorative justice pilots, hate crime diversion programs, and consideration of aggravated hate-based offences. The inquiry also suggests federal measures like strengthening national data collection and enhancing safety on dating apps.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liament.vic.gov.au/499268/contentassets/f991da43067346f9adead0960e8aa635/terms-of-reference-attachments/terms-of-reference---anti-lgbtiqa-hate-crimes.pdf" TargetMode="External"/><Relationship Id="rId10" Type="http://schemas.openxmlformats.org/officeDocument/2006/relationships/hyperlink" Target="https://www.rmit.edu.au/news/media-releases-and-expert-comments/2026/feb/anti-lgbtiqa-hate-crimes" TargetMode="External"/><Relationship Id="rId11" Type="http://schemas.openxmlformats.org/officeDocument/2006/relationships/hyperlink" Target="https://www.theguardian.com/australia-news/2026/feb/18/far-right-influencers-homophobic-attacks-dating-apps-investigation-ntwnfb" TargetMode="External"/><Relationship Id="rId12" Type="http://schemas.openxmlformats.org/officeDocument/2006/relationships/hyperlink" Target="https://www.humanrights.vic.gov.au/resources/fact-sheet-explaining-victorias-new-anti-hate-laws/" TargetMode="External"/><Relationship Id="rId13" Type="http://schemas.openxmlformats.org/officeDocument/2006/relationships/hyperlink" Target="https://www.equalityaustralia.org.au/equality-australia-urges-victorian-and-federal-governments-to-act-on-inquirys-recommendations-to-tackle-anti-lgbtiq-hate/" TargetMode="External"/><Relationship Id="rId14" Type="http://schemas.openxmlformats.org/officeDocument/2006/relationships/hyperlink" Target="https://www.starobserver.com.au/news/heres-everything-you-need-to-know-about-victorias-anti-lgbtiqa-hate-crimes-inquiry-report/24384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