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Indonesia's Rising Anti-LGBTQ Violence Puts Trans Women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women in Bogor have faced brutal street attacks as Indonesia's anti-LGBTQ violence grows more organised and politically charged. The incidents have renewed concern among rights groups, who say religious conservatism, nationalist rhetoric and new state policies are combining to make daily life more dangerous for gender and sexual minorities.</w:t>
      </w:r>
      <w:r/>
    </w:p>
    <w:p>
      <w:pPr>
        <w:pStyle w:val="Heading2"/>
      </w:pPr>
      <w:r>
        <w:t>Essential Takeaways</w:t>
      </w:r>
      <w:r/>
      <w:r/>
    </w:p>
    <w:p>
      <w:pPr>
        <w:pStyle w:val="ListBullet"/>
        <w:spacing w:line="240" w:lineRule="auto"/>
        <w:ind w:left="720"/>
      </w:pPr>
      <w:r/>
      <w:r>
        <w:rPr>
          <w:b/>
        </w:rPr>
        <w:t>Street attacks are escalating:</w:t>
      </w:r>
      <w:r>
        <w:t xml:space="preserve"> A Bogor vigilante group has reportedly targeted trans women in several incidents.</w:t>
      </w:r>
      <w:r/>
    </w:p>
    <w:p>
      <w:pPr>
        <w:pStyle w:val="ListBullet"/>
        <w:spacing w:line="240" w:lineRule="auto"/>
        <w:ind w:left="720"/>
      </w:pPr>
      <w:r/>
      <w:r>
        <w:rPr>
          <w:b/>
        </w:rPr>
        <w:t>State language matters:</w:t>
      </w:r>
      <w:r>
        <w:t xml:space="preserve"> LGBTQ identities have increasingly been framed as threats to national security and social order.</w:t>
      </w:r>
      <w:r/>
    </w:p>
    <w:p>
      <w:pPr>
        <w:pStyle w:val="ListBullet"/>
        <w:spacing w:line="240" w:lineRule="auto"/>
        <w:ind w:left="720"/>
      </w:pPr>
      <w:r/>
      <w:r>
        <w:rPr>
          <w:b/>
        </w:rPr>
        <w:t>Universities are tightening rules:</w:t>
      </w:r>
      <w:r>
        <w:t xml:space="preserve"> Human Rights Watch has documented discriminatory gender and sexuality policies at Indonesian campuses.</w:t>
      </w:r>
      <w:r/>
    </w:p>
    <w:p>
      <w:pPr>
        <w:pStyle w:val="ListBullet"/>
        <w:spacing w:line="240" w:lineRule="auto"/>
        <w:ind w:left="720"/>
      </w:pPr>
      <w:r/>
      <w:r>
        <w:rPr>
          <w:b/>
        </w:rPr>
        <w:t>Legal protection remains fragile:</w:t>
      </w:r>
      <w:r>
        <w:t xml:space="preserve"> Consensual same-sex relationships aren't broadly illegal nationwide, but regional rules and public-decency provisions create fresh risks.</w:t>
      </w:r>
      <w:r/>
    </w:p>
    <w:p>
      <w:pPr>
        <w:pStyle w:val="ListBullet"/>
        <w:spacing w:line="240" w:lineRule="auto"/>
        <w:ind w:left="720"/>
      </w:pPr>
      <w:r/>
      <w:r>
        <w:rPr>
          <w:b/>
        </w:rPr>
        <w:t>Activists face a wider backlash:</w:t>
      </w:r>
      <w:r>
        <w:t xml:space="preserve"> Indonesian campaigners say anti-LGBTQ rhetoric is being used during periods of political tension.</w:t>
      </w:r>
      <w:r/>
      <w:r/>
    </w:p>
    <w:p>
      <w:pPr>
        <w:pStyle w:val="Heading2"/>
      </w:pPr>
      <w:r>
        <w:t>Bogor attacks expose a wider danger</w:t>
      </w:r>
      <w:r/>
    </w:p>
    <w:p>
      <w:r/>
      <w:r>
        <w:t>The violence reported in Bogor is disturbing not only for its cruelty, but for the confidence of the attackers. Trans women were allegedly kicked, beaten, doused with urine and stripped by force in public. Reports from The Jakarta Post and ABC News describe a vigilante movement presenting itself as a defender of the city, rather than as a criminal threat.</w:t>
      </w:r>
      <w:r/>
    </w:p>
    <w:p>
      <w:r/>
      <w:r>
        <w:t>That distinction matters. When groups adopt the language of public order, morality or protection, intimidation can begin to look almost official. The result is a chilling atmosphere in which victims may fear not only attackers, but also indifference from bystanders and authorities.</w:t>
      </w:r>
      <w:r/>
    </w:p>
    <w:p>
      <w:r/>
      <w:r>
        <w:t>A separate report from Antara documented a public anti-LGBTQ protest in Bogor, illustrating how street mobilisation can reinforce the same message as direct violence. The line between demonstration and harassment becomes dangerously thin when an already vulnerable community is treated as a social contaminant.</w:t>
      </w:r>
      <w:r/>
    </w:p>
    <w:p>
      <w:pPr>
        <w:pStyle w:val="Heading2"/>
      </w:pPr>
      <w:r>
        <w:t>Religious conservatism meets nationalist politics</w:t>
      </w:r>
      <w:r/>
    </w:p>
    <w:p>
      <w:r/>
      <w:r>
        <w:t>Indonesia isn't the only country where LGBTQ people have become targets in a broader culture war. But the local mix is particularly potent: conservative religious campaigning is increasingly meeting nationalist ideas about family, discipline and state security.</w:t>
      </w:r>
      <w:r/>
    </w:p>
    <w:p>
      <w:r/>
      <w:r>
        <w:t>ABC News reported that new official language has described LGBTQ culture as a threat to the country. Human Rights Watch has also highlighted a broader deterioration in rights protections, including discriminatory rules affecting gender and sexual minorities in public universities.</w:t>
      </w:r>
      <w:r/>
    </w:p>
    <w:p>
      <w:r/>
      <w:r>
        <w:t>For campaigners, this marks an important shift. Attacks once framed mainly as religious or moral objections can now be presented as patriotic acts. That gives prejudice a sharper political edge, and makes it easier to portray trans people as enemies of stability rather than citizens entitled to protection.</w:t>
      </w:r>
      <w:r/>
    </w:p>
    <w:p>
      <w:pPr>
        <w:pStyle w:val="Heading2"/>
      </w:pPr>
      <w:r>
        <w:t>Why official rhetoric has real-world consequences</w:t>
      </w:r>
      <w:r/>
    </w:p>
    <w:p>
      <w:r/>
      <w:r>
        <w:t>Words from governments don't stay in government documents. They filter into headlines, sermons, social media posts and local campaigns, where they can give licence to people already looking for a target.</w:t>
      </w:r>
      <w:r/>
    </w:p>
    <w:p>
      <w:r/>
      <w:r>
        <w:t>The international rights group ILGA Asia has tracked continuing pressure on LGBTQ communities in Indonesia, including restrictions, hostile rhetoric and threats to legal equality. Meanwhile, reporting from ABC News has linked the recent attacks to the government's decision to classify LGBTQ culture as a national threat.</w:t>
      </w:r>
      <w:r/>
    </w:p>
    <w:p>
      <w:r/>
      <w:r>
        <w:t>That doesn't mean every public critic is calling for violence. It does mean that official categorisation can help normalise suspicion. Once a minority is discussed alongside terrorism, separatism or radicalism, discrimination starts to sound like precaution.</w:t>
      </w:r>
      <w:r/>
    </w:p>
    <w:p>
      <w:pPr>
        <w:pStyle w:val="Heading2"/>
      </w:pPr>
      <w:r>
        <w:t>A legal grey area leaves people exposed</w:t>
      </w:r>
      <w:r/>
    </w:p>
    <w:p>
      <w:r/>
      <w:r>
        <w:t>Homosexuality isn't generally illegal across Indonesia, but that broad fact can be misleading. Local regulations, public-decency rules and uneven enforcement create a patchwork in which rights depend heavily on location and circumstance.</w:t>
      </w:r>
      <w:r/>
    </w:p>
    <w:p>
      <w:r/>
      <w:r>
        <w:t>The Jakarta Post and ILGA Asia have both pointed to the vulnerability created by this uneven legal landscape. Even where private, consensual relationships aren't directly criminalised, public expression, gender presentation or community organising may attract scrutiny.</w:t>
      </w:r>
      <w:r/>
    </w:p>
    <w:p>
      <w:r/>
      <w:r>
        <w:t>For trans people, the risks can be even more immediate. A vague rule about morality or public order may be used to justify questioning, detention or harassment. Legal ambiguity doesn't feel neutral when the person on the receiving end has fewer resources, less social protection and little confidence that a complaint will be taken seriously.</w:t>
      </w:r>
      <w:r/>
    </w:p>
    <w:p>
      <w:pPr>
        <w:pStyle w:val="Heading2"/>
      </w:pPr>
      <w:r>
        <w:t>What happens next?</w:t>
      </w:r>
      <w:r/>
    </w:p>
    <w:p>
      <w:r/>
      <w:r>
        <w:t>Rights organisations are likely to keep documenting attacks, challenging discriminatory rules and urging the government to separate public safety from scapegoating. The evidence gathered by groups such as ILGA Asia and Human Rights Watch will be crucial, particularly as national and local policies continue to evolve.</w:t>
      </w:r>
      <w:r/>
    </w:p>
    <w:p>
      <w:r/>
      <w:r>
        <w:t>There is also a wider political question. If anti-LGBTQ messaging becomes a convenient response to economic frustration, corruption scandals or protests, it can distract from the issues that caused public anger in the first place. As one Indonesian researcher quoted in the reporting argues, communities already under pressure can become useful targets when governments want a simpler story.</w:t>
      </w:r>
      <w:r/>
    </w:p>
    <w:p>
      <w:r/>
      <w:r>
        <w:t>For trans women in Bogor, though, this is no abstract political strategy. It's a question of whether they can walk down the street without being attacked.</w:t>
      </w:r>
      <w:r/>
    </w:p>
    <w:p>
      <w:r/>
      <w:r>
        <w:t>Protecting LGBTQ people starts with refusing to turn prejudice into public policy.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2">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[4]</w:t>
        </w:r>
      </w:hyperlink>
      <w:r>
        <w:t xml:space="preserve">, </w:t>
      </w:r>
      <w:hyperlink r:id="rId14">
        <w:r>
          <w:rPr>
            <w:color w:val="0000EE"/>
            <w:u w:val="single"/>
          </w:rPr>
          <w:t>[6]</w:t>
        </w:r>
      </w:hyperlink>
      <w:r>
        <w:t xml:space="preserve">- Paragraph 15: </w:t>
      </w:r>
      <w:hyperlink r:id="rId11">
        <w:r>
          <w:rPr>
            <w:color w:val="0000EE"/>
            <w:u w:val="single"/>
          </w:rPr>
          <w:t>[3]</w:t>
        </w:r>
      </w:hyperlink>
      <w:r>
        <w:t xml:space="preserve">, </w:t>
      </w:r>
      <w:hyperlink r:id="rId12">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https://www.trouw.nl/buitenland/bij-aanvalsgolf-op-indonesische-lhbti-ers-gaan-religie-en-rechts-nationalisme-hand-in-hand~bbb6834d/</w:t>
        </w:r>
      </w:hyperlink>
      <w:r>
        <w:t xml:space="preserve"> - Please view link - unable to able to access data</w:t>
      </w:r>
      <w:r/>
    </w:p>
    <w:p>
      <w:pPr>
        <w:pStyle w:val="ListNumber"/>
        <w:spacing w:line="240" w:lineRule="auto"/>
        <w:ind w:left="720"/>
      </w:pPr>
      <w:r/>
      <w:hyperlink r:id="rId10">
        <w:r>
          <w:rPr>
            <w:color w:val="0000EE"/>
            <w:u w:val="single"/>
          </w:rPr>
          <w:t>https://www.thejakartapost.com/indonesia/2026/07/21/outrage-as-trans-women-targeted-in-mob-violence</w:t>
        </w:r>
      </w:hyperlink>
      <w:r>
        <w:t xml:space="preserve"> - A series of mob attacks targeting transgender women in Bogor, West Java, has sparked outrage among civil society groups. These incidents have been linked to a presidential regulation classifying LGBTQ culture as a national threat, which critics argue justifies harassment and violence against the queer community. Over the past two months, at least 10 trans women have been subjected to three separate mob attacks in Bogor, according to Amnesty International Indonesia. Footage of the attacks has been circulating online, including a clip showing a group of men punching and kicking a trans woman as she walked along a street in Bogor at night. The perpetrators also filmed themselves spraying what is believed to be a bottle of urine at the victim. These attacks were reportedly carried out under the banner of the so-called Bogor Bersih LGBTQ (Bogor free of LGBTQ) movement. Civil society groups have since denounced violence against LGBTQ individuals, particularly those with high visibility, such as transgender women. During a press conference hosted by the Indonesian Women’s Alliance (API) on Sunday, numerous civil groups urged the central government to revoke any discriminatory policies that could justify violent acts targeting the queer community.</w:t>
      </w:r>
      <w:r/>
    </w:p>
    <w:p>
      <w:pPr>
        <w:pStyle w:val="ListNumber"/>
        <w:spacing w:line="240" w:lineRule="auto"/>
        <w:ind w:left="720"/>
      </w:pPr>
      <w:r/>
      <w:hyperlink r:id="rId11">
        <w:r>
          <w:rPr>
            <w:color w:val="0000EE"/>
            <w:u w:val="single"/>
          </w:rPr>
          <w:t>https://www.abc.net.au/news/2026-08-15/men-attack-transwomen-in-indonesia-after-rule-deems-them-threat/107023468</w:t>
        </w:r>
      </w:hyperlink>
      <w:r>
        <w:t xml:space="preserve"> - A series of attacks on transgender women in Indonesia has been linked to a presidential regulation classifying LGBTQ culture as a national threat. Between March 30 and July 15, 2026, at least 10 trans women were subjected to three separate mob attacks in Bogor, West Java. The attacks involved men punching and kicking trans women, throwing stones, glass bottles, firecrackers, and stripping some of them naked. These incidents have caused physical injury and left the victims traumatised. Amnesty International Indonesia noted that groups of between 10 and 20 men were often perpetrating the attacks, which they filmed and posted on social media. The attacks have left some victim-survivors too afraid to make reports to police. The Indonesian LGBTQIA+ rights organisation Arus Pelangi has recorded a rise in attacks on the LGBTQIA+ community in recent years, from 28 attacks in 2024 to 66 in 2025. Trans rights activist Echa Wao'de stated that the violence in Bogor had left trans women living in fear, and that some victims received no follow-up when they made police reports.</w:t>
      </w:r>
      <w:r/>
    </w:p>
    <w:p>
      <w:pPr>
        <w:pStyle w:val="ListNumber"/>
        <w:spacing w:line="240" w:lineRule="auto"/>
        <w:ind w:left="720"/>
      </w:pPr>
      <w:r/>
      <w:hyperlink r:id="rId13">
        <w:r>
          <w:rPr>
            <w:color w:val="0000EE"/>
            <w:u w:val="single"/>
          </w:rPr>
          <w:t>https://www.antarafoto.com/view/2841204/aksi-damai-tolak-lgbtq-di-kota-bogor</w:t>
        </w:r>
      </w:hyperlink>
      <w:r>
        <w:t xml:space="preserve"> - On August 14, 2026, participants affiliated with the Forum of Caring Bogor Community held a peaceful protest against the LGBTQ community at the Bogor City Hall in West Java. They urged the Mayor of Bogor to immediately issue a Mayor Regulation (Perwali) on the Prevention and Handling of Sexual Deviant Behavior (P4S) and to socialise it across all agencies and community elements to jointly enforce the regulation so that issues of sexual deviant behaviour can be addressed.</w:t>
      </w:r>
      <w:r/>
    </w:p>
    <w:p>
      <w:pPr>
        <w:pStyle w:val="ListNumber"/>
        <w:spacing w:line="240" w:lineRule="auto"/>
        <w:ind w:left="720"/>
      </w:pPr>
      <w:r/>
      <w:hyperlink r:id="rId12">
        <w:r>
          <w:rPr>
            <w:color w:val="0000EE"/>
            <w:u w:val="single"/>
          </w:rPr>
          <w:t>https://www.abc.net.au/news/2026-08-15/indonesian-trans-attacks/107039188</w:t>
        </w:r>
      </w:hyperlink>
      <w:r>
        <w:t xml:space="preserve"> - A series of attacks on transgender women in Indonesia has been linked to a presidential regulation classifying LGBTQ culture as a national threat. Between March 30 and July 15, 2026, at least 10 trans women were subjected to three separate mob attacks in Bogor, West Java. The attacks involved men punching and kicking trans women, throwing stones, glass bottles, firecrackers, and stripping some of them naked. These incidents have caused physical injury and left the victims traumatised. Amnesty International Indonesia noted that groups of between 10 and 20 men were often perpetrating the attacks, which they filmed and posted on social media. The attacks have left some victim-survivors too afraid to make reports to police. The Indonesian LGBTQIA+ rights organisation Arus Pelangi has recorded a rise in attacks on the LGBTQIA+ community in recent years, from 28 attacks in 2024 to 66 in 2025. Trans rights activist Echa Wao'de stated that the violence in Bogor had left trans women living in fear, and that some victims received no follow-up when they made police reports.</w:t>
      </w:r>
      <w:r/>
    </w:p>
    <w:p>
      <w:pPr>
        <w:pStyle w:val="ListNumber"/>
        <w:spacing w:line="240" w:lineRule="auto"/>
        <w:ind w:left="720"/>
      </w:pPr>
      <w:r/>
      <w:hyperlink r:id="rId14">
        <w:r>
          <w:rPr>
            <w:color w:val="0000EE"/>
            <w:u w:val="single"/>
          </w:rPr>
          <w:t>https://www.hrw.org/news/2024/01/11/indonesia-jokowis-term-ends-whimper-rights</w:t>
        </w:r>
      </w:hyperlink>
      <w:r>
        <w:t xml:space="preserve"> - In its World Report 2024, Human Rights Watch stated that Indonesian President Joko 'Jokowi' Widodo's final year in office produced no major initiatives to address human rights problems in the country. The report highlighted the lack of efforts to address discrimination and abuses against marginalized groups, including the LGBTQ community. The report also noted that the government failed to take significant action to protect the rights of these groups during Jokowi's term.</w:t>
      </w:r>
      <w:r/>
    </w:p>
    <w:p>
      <w:pPr>
        <w:pStyle w:val="ListNumber"/>
        <w:spacing w:line="240" w:lineRule="auto"/>
        <w:ind w:left="720"/>
      </w:pPr>
      <w:r/>
      <w:hyperlink r:id="rId15">
        <w:r>
          <w:rPr>
            <w:color w:val="0000EE"/>
            <w:u w:val="single"/>
          </w:rPr>
          <w:t>https://www.ilgaasia.org/publications/indonesiajul2025</w:t>
        </w:r>
      </w:hyperlink>
      <w:r>
        <w:t xml:space="preserve"> - In June 2025, a joint police task force in the city of Bogor, Indonesia, arrested 75 individuals for attending an alleged 'gay party' in a privately rented villa. The arrests were made under the Pornography Law of 2008, which, while not explicitly criminalising consensual same-sex sexual relationships, has been repeatedly invoked to surveil and target LGBTQI+ people in Indonesia. The Criminal Investigation Unit of Bogor Police stated that the raid was conducted following public reports of alleged 'suspicious activities.' Authorities are currently investigating the event’s organisers. The detainees were brought to the Bogor Police Headquarters for questioning and were subjected to medical examinations, including HIV tests; the results of which were then publicly disclosed by the police.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ouw.nl/buitenland/bij-aanvalsgolf-op-indonesische-lhbti-ers-gaan-religie-en-rechts-nationalisme-hand-in-hand~bbb6834d/" TargetMode="External"/><Relationship Id="rId10" Type="http://schemas.openxmlformats.org/officeDocument/2006/relationships/hyperlink" Target="https://www.thejakartapost.com/indonesia/2026/07/21/outrage-as-trans-women-targeted-in-mob-violence" TargetMode="External"/><Relationship Id="rId11" Type="http://schemas.openxmlformats.org/officeDocument/2006/relationships/hyperlink" Target="https://www.abc.net.au/news/2026-08-15/men-attack-transwomen-in-indonesia-after-rule-deems-them-threat/107023468" TargetMode="External"/><Relationship Id="rId12" Type="http://schemas.openxmlformats.org/officeDocument/2006/relationships/hyperlink" Target="https://www.abc.net.au/news/2026-08-15/indonesian-trans-attacks/107039188" TargetMode="External"/><Relationship Id="rId13" Type="http://schemas.openxmlformats.org/officeDocument/2006/relationships/hyperlink" Target="https://www.antarafoto.com/view/2841204/aksi-damai-tolak-lgbtq-di-kota-bogor" TargetMode="External"/><Relationship Id="rId14" Type="http://schemas.openxmlformats.org/officeDocument/2006/relationships/hyperlink" Target="https://www.hrw.org/news/2024/01/11/indonesia-jokowis-term-ends-whimper-rights" TargetMode="External"/><Relationship Id="rId15" Type="http://schemas.openxmlformats.org/officeDocument/2006/relationships/hyperlink" Target="https://www.ilgaasia.org/publications/indonesiajul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