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Hundreds Join UK Mass Lobby to Protect Trans Rights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Hundreds of trans people and allies gathered at Parliament in London to challenge updated single-sex space guidance, share the real-world impact of the rules and press MPs for stronger protections, as campaigners warn that the current climate is leaving trans people feeling exposed, unwelcome and unsafe.</w:t>
      </w:r>
      <w:r/>
    </w:p>
    <w:p>
      <w:pPr>
        <w:pStyle w:val="Heading2"/>
      </w:pPr>
      <w:r>
        <w:t>Essential Takeaways</w:t>
      </w:r>
      <w:r/>
      <w:r/>
    </w:p>
    <w:p>
      <w:pPr>
        <w:pStyle w:val="ListBullet"/>
        <w:spacing w:line="240" w:lineRule="auto"/>
        <w:ind w:left="720"/>
      </w:pPr>
      <w:r/>
      <w:r>
        <w:rPr>
          <w:b/>
        </w:rPr>
        <w:t>Mass action:</w:t>
      </w:r>
      <w:r>
        <w:t xml:space="preserve"> Trans people and allies met MPs inside Parliament rather than holding a traditional street protest.</w:t>
      </w:r>
      <w:r/>
    </w:p>
    <w:p>
      <w:pPr>
        <w:pStyle w:val="ListBullet"/>
        <w:spacing w:line="240" w:lineRule="auto"/>
        <w:ind w:left="720"/>
      </w:pPr>
      <w:r/>
      <w:r>
        <w:rPr>
          <w:b/>
        </w:rPr>
        <w:t>Central concern:</w:t>
      </w:r>
      <w:r>
        <w:t xml:space="preserve"> Campaigners criticised guidance linked to the use of single-sex spaces according to biological sex.</w:t>
      </w:r>
      <w:r/>
    </w:p>
    <w:p>
      <w:pPr>
        <w:pStyle w:val="ListBullet"/>
        <w:spacing w:line="240" w:lineRule="auto"/>
        <w:ind w:left="720"/>
      </w:pPr>
      <w:r/>
      <w:r>
        <w:rPr>
          <w:b/>
        </w:rPr>
        <w:t>Human impact:</w:t>
      </w:r>
      <w:r>
        <w:t xml:space="preserve"> Speakers said the rules are contributing to harassment, anxiety and barriers to everyday life.</w:t>
      </w:r>
      <w:r/>
    </w:p>
    <w:p>
      <w:pPr>
        <w:pStyle w:val="ListBullet"/>
        <w:spacing w:line="240" w:lineRule="auto"/>
        <w:ind w:left="720"/>
      </w:pPr>
      <w:r/>
      <w:r>
        <w:rPr>
          <w:b/>
        </w:rPr>
        <w:t>Wider pressure:</w:t>
      </w:r>
      <w:r>
        <w:t xml:space="preserve"> Universities, businesses and public bodies are all weighing how to interpret the updated guidance.</w:t>
      </w:r>
      <w:r/>
    </w:p>
    <w:p>
      <w:pPr>
        <w:pStyle w:val="ListBullet"/>
        <w:spacing w:line="240" w:lineRule="auto"/>
        <w:ind w:left="720"/>
      </w:pPr>
      <w:r/>
      <w:r>
        <w:rPr>
          <w:b/>
        </w:rPr>
        <w:t>Next step:</w:t>
      </w:r>
      <w:r>
        <w:t xml:space="preserve"> Activists want ministers and Parliament to respond directly to trans constituents' experiences.</w:t>
      </w:r>
      <w:r/>
      <w:r/>
    </w:p>
    <w:p>
      <w:pPr>
        <w:pStyle w:val="Heading2"/>
      </w:pPr>
      <w:r>
        <w:t>Parliament becomes a meeting place for protest</w:t>
      </w:r>
      <w:r/>
    </w:p>
    <w:p>
      <w:r/>
      <w:r>
        <w:t>The strongest image from the mass lobby was not a placard outside Westminster, but people moving through Parliament to speak directly with their MPs. Hundreds of trans people and allies took part in the event on 9 September, bringing personal accounts of how the latest guidance is affecting daily life.</w:t>
      </w:r>
      <w:r/>
    </w:p>
    <w:p>
      <w:r/>
      <w:r>
        <w:t>That format matters. A lobby puts constituents face to face with the people responsible for making and scrutinising policy, so the conversation can feel more immediate than a conventional demonstration. Attitude reported that the action was organised to challenge the updated Equality and Human Rights Commission position on single-sex spaces.</w:t>
      </w:r>
      <w:r/>
    </w:p>
    <w:p>
      <w:r/>
      <w:r>
        <w:t>For many attendees, this wasn't an abstract legal argument. Toilets, changing rooms, workplaces and public services are ordinary parts of life, yet the guidance has made them feel newly charged. That is why campaigners are insisting that policymakers listen to the people living with the consequences.</w:t>
      </w:r>
      <w:r/>
    </w:p>
    <w:p>
      <w:pPr>
        <w:pStyle w:val="Heading2"/>
      </w:pPr>
      <w:r>
        <w:t>Why the EHRC guidance has become so contentious</w:t>
      </w:r>
      <w:r/>
    </w:p>
    <w:p>
      <w:r/>
      <w:r>
        <w:t>The updated EHRC code, brought in on 5 August, says single-sex spaces should be used according to biological sex. The guidance followed the Supreme Court's interpretation of the Equality Act, and it has prompted an unusually broad debate about how organisations should respond.</w:t>
      </w:r>
      <w:r/>
    </w:p>
    <w:p>
      <w:r/>
      <w:r>
        <w:t>Scottish Legal reported that the code now applies across Britain, while Times Higher Education highlighted the particular questions facing universities. Institutions must consider how rules affect students, staff, visitors and services without turning everyday access into a source of confrontation.</w:t>
      </w:r>
      <w:r/>
    </w:p>
    <w:p>
      <w:r/>
      <w:r>
        <w:t>Supporters of the guidance say organisations need clear rules and legal certainty. Critics argue that the approach risks excluding trans people and creating practical confusion for employers and service providers. In other words, the supposedly simple answer has left many organisations facing difficult, sensitive decisions.</w:t>
      </w:r>
      <w:r/>
    </w:p>
    <w:p>
      <w:pPr>
        <w:pStyle w:val="Heading2"/>
      </w:pPr>
      <w:r>
        <w:t>Trans voices push back against a "dangerous" climate</w:t>
      </w:r>
      <w:r/>
    </w:p>
    <w:p>
      <w:r/>
      <w:r>
        <w:t>At the lobby, Trans+ Solidarity Alliance advocacy lead Alfie Bailey-Bearfield said the situation was "dangerous and unacceptable", calling on the government to act. Labour MP Nadia Whittome also backed the campaign, saying the current climate was preventing trans people from living with dignity and increasing the risk of harassment.</w:t>
      </w:r>
      <w:r/>
    </w:p>
    <w:p>
      <w:r/>
      <w:r>
        <w:t>Those comments reflect the emotional weight behind the event. When a policy discussion concerns where someone can change, wash their hands or use a public facility, the impact is felt in small, repetitive moments rather than just in headlines. The fear of being challenged can be enough to make people avoid spaces altogether.</w:t>
      </w:r>
      <w:r/>
    </w:p>
    <w:p>
      <w:r/>
      <w:r>
        <w:t>The Equality and Human Rights Commission has separately said it has concluded regulatory action concerning single-sex space policies. Meanwhile, public bodies have faced criticism from different sides over how they have interpreted or resisted the code. That clash shows just how unsettled the landscape remains.</w:t>
      </w:r>
      <w:r/>
    </w:p>
    <w:p>
      <w:pPr>
        <w:pStyle w:val="Heading2"/>
      </w:pPr>
      <w:r>
        <w:t>Businesses and universities are caught in the middle</w:t>
      </w:r>
      <w:r/>
    </w:p>
    <w:p>
      <w:r/>
      <w:r>
        <w:t>The debate isn't confined to Westminster. More than 650 UK businesses and non-profits previously signed a letter warning ministers that the proposed guidance could be unworkable. Their concern was practical as much as political: organisations need rules that staff can apply consistently, without placing vulnerable people in awkward or unsafe situations.</w:t>
      </w:r>
      <w:r/>
    </w:p>
    <w:p>
      <w:r/>
      <w:r>
        <w:t>Universities face an especially complicated balancing act. Campuses include accommodation, sports facilities, healthcare, teaching spaces and student societies, all with their own safeguarding and equality considerations. Times Higher Education reported that the guidance represents a major shift for the sector, which means implementation is unlikely to be neat or uniform.</w:t>
      </w:r>
      <w:r/>
    </w:p>
    <w:p>
      <w:r/>
      <w:r>
        <w:t>For anyone trying to understand the issue, the useful question is not simply which side supports the code. It is how a particular organisation is applying it, whether staff have been trained, and what complaint or support routes are available. Policies can look tidy on paper while feeling very different at the changing-room door.</w:t>
      </w:r>
      <w:r/>
    </w:p>
    <w:p>
      <w:pPr>
        <w:pStyle w:val="Heading2"/>
      </w:pPr>
      <w:r>
        <w:t>What happens after the lobby?</w:t>
      </w:r>
      <w:r/>
    </w:p>
    <w:p>
      <w:r/>
      <w:r>
        <w:t>The event's organisers want the government to respond to the experiences shared in Parliament, not just repeat familiar legal language. That means explaining how trans people can access services safely, how organisations should prevent harassment, and what protections remain available in practice.</w:t>
      </w:r>
      <w:r/>
    </w:p>
    <w:p>
      <w:r/>
      <w:r>
        <w:t>The Family Education Trust has also issued a statement on the updated guidance, illustrating how strongly views differ across the debate. With campaigners, public bodies, universities and advocacy groups continuing to press their positions, the next phase is likely to involve more scrutiny of individual policies and their real-world effects.</w:t>
      </w:r>
      <w:r/>
    </w:p>
    <w:p>
      <w:r/>
      <w:r>
        <w:t>A mass lobby lasts one day, but its message is meant to travel further. For the people who took part, being heard by an MP may have been a small moment; being taken seriously by government would be the meaningful outcome.</w:t>
      </w:r>
      <w:r/>
    </w:p>
    <w:p>
      <w:r/>
      <w:r>
        <w:t>It's a small step into Parliament, but a significant demand for dignity outside it.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[4]</w:t>
        </w:r>
      </w:hyperlink>
      <w:r>
        <w:t xml:space="preserve">- Paragraph 3: </w:t>
      </w:r>
      <w:hyperlink r:id="rId11">
        <w:r>
          <w:rPr>
            <w:color w:val="0000EE"/>
            <w:u w:val="single"/>
          </w:rPr>
          <w:t>[3]</w:t>
        </w:r>
      </w:hyperlink>
      <w:r>
        <w:t xml:space="preserve">, </w:t>
      </w:r>
      <w:hyperlink r:id="rId13">
        <w:r>
          <w:rPr>
            <w:color w:val="0000EE"/>
            <w:u w:val="single"/>
          </w:rPr>
          <w:t>[5]</w:t>
        </w:r>
      </w:hyperlink>
      <w:r>
        <w:t xml:space="preserve">- Paragraph 4: </w:t>
      </w:r>
      <w:hyperlink r:id="rId14">
        <w:r>
          <w:rPr>
            <w:color w:val="0000EE"/>
            <w:u w:val="single"/>
          </w:rPr>
          <w:t>[6]</w:t>
        </w:r>
      </w:hyperlink>
      <w:r>
        <w:t xml:space="preserve">, </w:t>
      </w:r>
      <w:hyperlink r:id="rId15">
        <w:r>
          <w:rPr>
            <w:color w:val="0000EE"/>
            <w:u w:val="single"/>
          </w:rPr>
          <w:t>[7]</w:t>
        </w:r>
      </w:hyperlink>
      <w:r>
        <w:t xml:space="preserve">- Paragraph 5: </w:t>
      </w:r>
      <w:hyperlink r:id="rId12">
        <w:r>
          <w:rPr>
            <w:color w:val="0000EE"/>
            <w:u w:val="single"/>
          </w:rPr>
          <w:t>[4]</w:t>
        </w:r>
      </w:hyperlink>
      <w:r>
        <w:t xml:space="preserve">, </w:t>
      </w:r>
      <w:hyperlink r:id="rId13">
        <w:r>
          <w:rPr>
            <w:color w:val="0000EE"/>
            <w:u w:val="single"/>
          </w:rPr>
          <w:t>[5]</w:t>
        </w:r>
      </w:hyperlink>
      <w:r>
        <w:t xml:space="preserve">- Paragraph 6: </w:t>
      </w:r>
      <w:hyperlink r:id="rId11">
        <w:r>
          <w:rPr>
            <w:color w:val="0000EE"/>
            <w:u w:val="single"/>
          </w:rPr>
          <w:t>[3]</w:t>
        </w:r>
      </w:hyperlink>
      <w:r>
        <w:t xml:space="preserve">, </w:t>
      </w:r>
      <w:hyperlink r:id="rId14">
        <w:r>
          <w:rPr>
            <w:color w:val="0000EE"/>
            <w:u w:val="single"/>
          </w:rPr>
          <w:t>[6]</w:t>
        </w:r>
      </w:hyperlink>
      <w:r>
        <w:t xml:space="preserve">- Paragraph 7: </w:t>
      </w:r>
      <w:hyperlink r:id="rId10">
        <w:r>
          <w:rPr>
            <w:color w:val="0000EE"/>
            <w:u w:val="single"/>
          </w:rPr>
          <w:t>[2]</w:t>
        </w:r>
      </w:hyperlink>
      <w:r>
        <w:t xml:space="preserve">, </w:t>
      </w:r>
      <w:hyperlink r:id="rId12">
        <w:r>
          <w:rPr>
            <w:color w:val="0000EE"/>
            <w:u w:val="single"/>
          </w:rPr>
          <w:t>[4]</w:t>
        </w:r>
      </w:hyperlink>
      <w:r>
        <w:t xml:space="preserve">- Paragraph 8: </w:t>
      </w:r>
      <w:hyperlink r:id="rId11">
        <w:r>
          <w:rPr>
            <w:color w:val="0000EE"/>
            <w:u w:val="single"/>
          </w:rPr>
          <w:t>[3]</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[4]</w:t>
        </w:r>
      </w:hyperlink>
      <w:r>
        <w:t xml:space="preserve">- Paragraph 11: </w:t>
      </w:r>
      <w:hyperlink r:id="rId11">
        <w:r>
          <w:rPr>
            <w:color w:val="0000EE"/>
            <w:u w:val="single"/>
          </w:rPr>
          <w:t>[3]</w:t>
        </w:r>
      </w:hyperlink>
      <w:r>
        <w:t xml:space="preserve">, </w:t>
      </w:r>
      <w:hyperlink r:id="rId14">
        <w:r>
          <w:rPr>
            <w:color w:val="0000EE"/>
            <w:u w:val="single"/>
          </w:rPr>
          <w:t>[6]</w:t>
        </w:r>
      </w:hyperlink>
      <w:r>
        <w:t xml:space="preserve">- Paragraph 12: </w:t>
      </w:r>
      <w:hyperlink r:id="rId13">
        <w:r>
          <w:rPr>
            <w:color w:val="0000EE"/>
            <w:u w:val="single"/>
          </w:rPr>
          <w:t>[5]</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[3]</w:t>
        </w:r>
      </w:hyperlink>
      <w:r>
        <w:t xml:space="preserve">- Paragraph 14: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https://diva-magazine.com/2026/09/10/hundreds-participate-in-mass-lobby-to-protect-trans-rights/?utm_source=rss&amp;utm_medium=rss&amp;utm_campaign=hundreds-participate-in-mass-lobby-to-protect-trans-rights</w:t>
        </w:r>
      </w:hyperlink>
      <w:r>
        <w:t xml:space="preserve"> - Please view link - unable to able to access data</w:t>
      </w:r>
      <w:r/>
    </w:p>
    <w:p>
      <w:pPr>
        <w:pStyle w:val="ListNumber"/>
        <w:spacing w:line="240" w:lineRule="auto"/>
        <w:ind w:left="720"/>
      </w:pPr>
      <w:r/>
      <w:hyperlink r:id="rId10">
        <w:r>
          <w:rPr>
            <w:color w:val="0000EE"/>
            <w:u w:val="single"/>
          </w:rPr>
          <w:t>https://www.attitude.co.uk/news/mass-trans-lobby-challenge-ehrc-guidance-uk-parliament-533304/</w:t>
        </w:r>
      </w:hyperlink>
      <w:r>
        <w:t xml:space="preserve"> - On 9 September 2026, nearly 1,000 trans individuals and allies gathered at the UK Parliament to challenge the Equality and Human Rights Commission's (EHRC) guidance on single-sex spaces. The EHRC's updated code, effective from 5 August 2026, restricts trans people from using facilities aligning with their gender identity, a move campaigners argue is 'cruel and unworkable'. The mass lobby aimed to urge the government to protect trans rights and address the concerns arising from the EHRC's guidance.</w:t>
      </w:r>
      <w:r/>
    </w:p>
    <w:p>
      <w:pPr>
        <w:pStyle w:val="ListNumber"/>
        <w:spacing w:line="240" w:lineRule="auto"/>
        <w:ind w:left="720"/>
      </w:pPr>
      <w:r/>
      <w:hyperlink r:id="rId11">
        <w:r>
          <w:rPr>
            <w:color w:val="0000EE"/>
            <w:u w:val="single"/>
          </w:rPr>
          <w:t>https://www.theintelligent.es/society/2026/public-bodies-criticised-resistance-ehrc-code-biological-sex-single-sex-spaces</w:t>
        </w:r>
      </w:hyperlink>
      <w:r>
        <w:t xml:space="preserve"> - Following the Supreme Court's April 2025 ruling that 'sex' in the Equality Act 2010 refers to biological sex, several public bodies, including NHS trusts and London borough councils, have been criticised for resisting the EHRC's updated code of practice on single-sex spaces. The code, effective from 5 August 2026, mandates that facilities like toilets and changing rooms be organised based on biological sex. Some organisations have pledged to maintain inclusive approaches, prompting calls for enforcement of the new guidance.</w:t>
      </w:r>
      <w:r/>
    </w:p>
    <w:p>
      <w:pPr>
        <w:pStyle w:val="ListNumber"/>
        <w:spacing w:line="240" w:lineRule="auto"/>
        <w:ind w:left="720"/>
      </w:pPr>
      <w:r/>
      <w:hyperlink r:id="rId12">
        <w:r>
          <w:rPr>
            <w:color w:val="0000EE"/>
            <w:u w:val="single"/>
          </w:rPr>
          <w:t>https://www.timeshighereducation.com/news/ehrc-guidance-single-sex-spaces-big-shift-universities</w:t>
        </w:r>
      </w:hyperlink>
      <w:r>
        <w:t xml:space="preserve"> - The EHRC's updated code of practice, effective from 5 August 2026, has significant implications for UK universities. The guidance confirms that single-sex facilities must be used based on biological sex, following the Supreme Court's April 2025 ruling. Universities are advised to review their policies to ensure compliance, balancing the needs of all students while adhering to the new legal framework.</w:t>
      </w:r>
      <w:r/>
    </w:p>
    <w:p>
      <w:pPr>
        <w:pStyle w:val="ListNumber"/>
        <w:spacing w:line="240" w:lineRule="auto"/>
        <w:ind w:left="720"/>
      </w:pPr>
      <w:r/>
      <w:hyperlink r:id="rId13">
        <w:r>
          <w:rPr>
            <w:color w:val="0000EE"/>
            <w:u w:val="single"/>
          </w:rPr>
          <w:t>https://www.scottishlegal.com/articles/ehrc-code-on-single-sex-spaces-comes-into-force-across-britain</w:t>
        </w:r>
      </w:hyperlink>
      <w:r>
        <w:t xml:space="preserve"> - The EHRC's updated statutory code of practice on single-sex spaces came into force on 5 August 2026 across England, Wales, and Scotland. The code mandates that facilities such as toilets, changing rooms, and rape crisis centres be organised according to biological sex. Trans individuals are advised to use facilities matching their biological sex or gender-neutral alternatives. The guidance follows the Supreme Court's April 2025 ruling that 'sex' in the Equality Act 2010 refers to biological sex.</w:t>
      </w:r>
      <w:r/>
    </w:p>
    <w:p>
      <w:pPr>
        <w:pStyle w:val="ListNumber"/>
        <w:spacing w:line="240" w:lineRule="auto"/>
        <w:ind w:left="720"/>
      </w:pPr>
      <w:r/>
      <w:hyperlink r:id="rId14">
        <w:r>
          <w:rPr>
            <w:color w:val="0000EE"/>
            <w:u w:val="single"/>
          </w:rPr>
          <w:t>https://www.equalityhumanrights.com/news/ehrc-concludes-regulatory-action-single-sex-space-policies</w:t>
        </w:r>
      </w:hyperlink>
      <w:r>
        <w:t xml:space="preserve"> - In February 2026, the EHRC concluded its regulatory action following a review of policies on single-sex spaces. The review identified 19 organisations whose policies misrepresented the Equality Act 2010 by suggesting an automatic legal right to access single-sex spaces based on self-identification. All 19 organisations have now removed the policies in question. This action followed the Supreme Court's April 2025 judgment confirming that 'sex' in the Equality Act 2010 refers to biological sex.</w:t>
      </w:r>
      <w:r/>
    </w:p>
    <w:p>
      <w:pPr>
        <w:pStyle w:val="ListNumber"/>
        <w:spacing w:line="240" w:lineRule="auto"/>
        <w:ind w:left="720"/>
      </w:pPr>
      <w:r/>
      <w:hyperlink r:id="rId15">
        <w:r>
          <w:rPr>
            <w:color w:val="0000EE"/>
            <w:u w:val="single"/>
          </w:rPr>
          <w:t>https://www.familyeducationtrust.org.uk/media/latest-news-statements/fet-statement-on-ehrc-updated-guidance-on-single-sex-spaces/</w:t>
        </w:r>
      </w:hyperlink>
      <w:r>
        <w:t xml:space="preserve"> - The Family Education Trust (FET) has issued a statement on the EHRC's updated guidance on single-sex spaces, published on 22 May 2026. The guidance states that single-sex spaces may lawfully be based on biological sex rather than gender identity. The FET highlights the significance of this development, noting that the Minister for Women and Equalities, Bridget Phillipson, laid the draft code before Parliament more than a year after the Supreme Court's April 2025 ruling.</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diva-magazine.com/2026/09/10/hundreds-participate-in-mass-lobby-to-protect-trans-rights/?utm_source=rss&amp;utm_medium=rss&amp;utm_campaign=hundreds-participate-in-mass-lobby-to-protect-trans-rights" TargetMode="External"/><Relationship Id="rId10" Type="http://schemas.openxmlformats.org/officeDocument/2006/relationships/hyperlink" Target="https://www.attitude.co.uk/news/mass-trans-lobby-challenge-ehrc-guidance-uk-parliament-533304/" TargetMode="External"/><Relationship Id="rId11" Type="http://schemas.openxmlformats.org/officeDocument/2006/relationships/hyperlink" Target="https://www.theintelligent.es/society/2026/public-bodies-criticised-resistance-ehrc-code-biological-sex-single-sex-spaces" TargetMode="External"/><Relationship Id="rId12" Type="http://schemas.openxmlformats.org/officeDocument/2006/relationships/hyperlink" Target="https://www.timeshighereducation.com/news/ehrc-guidance-single-sex-spaces-big-shift-universities" TargetMode="External"/><Relationship Id="rId13" Type="http://schemas.openxmlformats.org/officeDocument/2006/relationships/hyperlink" Target="https://www.scottishlegal.com/articles/ehrc-code-on-single-sex-spaces-comes-into-force-across-britain" TargetMode="External"/><Relationship Id="rId14" Type="http://schemas.openxmlformats.org/officeDocument/2006/relationships/hyperlink" Target="https://www.equalityhumanrights.com/news/ehrc-concludes-regulatory-action-single-sex-space-policies" TargetMode="External"/><Relationship Id="rId15" Type="http://schemas.openxmlformats.org/officeDocument/2006/relationships/hyperlink" Target="https://www.familyeducationtrust.org.uk/media/latest-news-statements/fet-statement-on-ehrc-updated-guidance-on-single-sex-spac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