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to Support an LGBTQ Blogger Facing Housing Uncertainty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Supporters are rallying around a Pittsburgh LGBTQ blogger as a divorce trial, legal bills and uncertain housing collide. Her fundraising appeal is less about generic donations and more about practical help, trusted sharing and the everyday essentials that can keep someone safe during a long legal fight.</w:t>
      </w:r>
      <w:r/>
    </w:p>
    <w:p>
      <w:pPr>
        <w:pStyle w:val="Heading2"/>
      </w:pPr>
      <w:r>
        <w:t>Essential Takeaways</w:t>
      </w:r>
      <w:r/>
      <w:r/>
    </w:p>
    <w:p>
      <w:pPr>
        <w:pStyle w:val="ListBullet"/>
        <w:spacing w:line="240" w:lineRule="auto"/>
        <w:ind w:left="720"/>
      </w:pPr>
      <w:r/>
      <w:r>
        <w:rPr>
          <w:b/>
        </w:rPr>
        <w:t>The appeal is urgent:</w:t>
      </w:r>
      <w:r>
        <w:t xml:space="preserve"> A forthcoming divorce trial could affect legal funding, housing and personal security.</w:t>
      </w:r>
      <w:r/>
    </w:p>
    <w:p>
      <w:pPr>
        <w:pStyle w:val="ListBullet"/>
        <w:spacing w:line="240" w:lineRule="auto"/>
        <w:ind w:left="720"/>
      </w:pPr>
      <w:r/>
      <w:r>
        <w:rPr>
          <w:b/>
        </w:rPr>
        <w:t>Small help matters:</w:t>
      </w:r>
      <w:r>
        <w:t xml:space="preserve"> Rides, meals, medication costs, phone check-ins and repairs are all listed as useful support.</w:t>
      </w:r>
      <w:r/>
    </w:p>
    <w:p>
      <w:pPr>
        <w:pStyle w:val="ListBullet"/>
        <w:spacing w:line="240" w:lineRule="auto"/>
        <w:ind w:left="720"/>
      </w:pPr>
      <w:r/>
      <w:r>
        <w:rPr>
          <w:b/>
        </w:rPr>
        <w:t>Direct sharing works:</w:t>
      </w:r>
      <w:r>
        <w:t xml:space="preserve"> The fundraiser asks supporters to send it personally to friends, family and colleagues.</w:t>
      </w:r>
      <w:r/>
    </w:p>
    <w:p>
      <w:pPr>
        <w:pStyle w:val="ListBullet"/>
        <w:spacing w:line="240" w:lineRule="auto"/>
        <w:ind w:left="720"/>
      </w:pPr>
      <w:r/>
      <w:r>
        <w:rPr>
          <w:b/>
        </w:rPr>
        <w:t>Housing needs remain fluid:</w:t>
      </w:r>
      <w:r>
        <w:t xml:space="preserve"> The right supplies will depend on whether the next step involves temporary lodging, sofa-surfing or a permanent home.</w:t>
      </w:r>
      <w:r/>
    </w:p>
    <w:p>
      <w:pPr>
        <w:pStyle w:val="ListBullet"/>
        <w:spacing w:line="240" w:lineRule="auto"/>
        <w:ind w:left="720"/>
      </w:pPr>
      <w:r/>
      <w:r>
        <w:rPr>
          <w:b/>
        </w:rPr>
        <w:t>Community support fills gaps:</w:t>
      </w:r>
      <w:r>
        <w:t xml:space="preserve"> Friends and allies have provided help where formal systems have proved difficult to navigate.</w:t>
      </w:r>
      <w:r/>
      <w:r/>
    </w:p>
    <w:p>
      <w:pPr>
        <w:pStyle w:val="Heading2"/>
      </w:pPr>
      <w:r>
        <w:t>A legal battle with housing hanging in the balance</w:t>
      </w:r>
      <w:r/>
    </w:p>
    <w:p>
      <w:r/>
      <w:r>
        <w:t>The most pressing issue isn't simply the approaching divorce trial. It's what comes afterwards: possible appeals, mounting fees and the question of where a safe, secure home might be found.</w:t>
      </w:r>
      <w:r/>
    </w:p>
    <w:p>
      <w:r/>
      <w:r>
        <w:t>The blogger describes a crisis that has stretched over three years, beginning with an urgent need for legal representation and basic personal items. According to the GoFundMe campaign, an initial target helped cover a solicitor's retainer, but the financial pressure has continued as the case moved through the courts.</w:t>
      </w:r>
      <w:r/>
    </w:p>
    <w:p>
      <w:r/>
      <w:r>
        <w:t>That combination is especially frightening because legal uncertainty rarely stays neatly inside the courtroom. It can affect medication, transport, food, accommodation and the ability to make ordinary decisions without constantly checking the bank balance.</w:t>
      </w:r>
      <w:r/>
    </w:p>
    <w:p>
      <w:pPr>
        <w:pStyle w:val="Heading2"/>
      </w:pPr>
      <w:r>
        <w:t>Why this fundraiser asks for more than money</w:t>
      </w:r>
      <w:r/>
    </w:p>
    <w:p>
      <w:r/>
      <w:r>
        <w:t>The campaign is framed as a legal and living-expenses fund, but its practical requests are broader. Supporters are asked to consider pharmacy gift cards, affordable meals, rides, regular messages and help repairing an electric trike.</w:t>
      </w:r>
      <w:r/>
    </w:p>
    <w:p>
      <w:r/>
      <w:r>
        <w:t>Those details give the appeal a distinctly human shape. A contribution might help with professional fees, but another form of assistance could mean getting to an appointment, collecting medication or simply making an exhausting week feel less solitary.</w:t>
      </w:r>
      <w:r/>
    </w:p>
    <w:p>
      <w:r/>
      <w:r>
        <w:t>That matters in a prolonged crisis. The blogger says she has spent years asking for help and has sometimes felt embarrassed by needing support for herself rather than for a community project or charitable cause. The emotional cost of repeated appeals is easy to underestimate.</w:t>
      </w:r>
      <w:r/>
    </w:p>
    <w:p>
      <w:pPr>
        <w:pStyle w:val="Heading2"/>
      </w:pPr>
      <w:r>
        <w:t>Sharing directly can make a real difference</w:t>
      </w:r>
      <w:r/>
    </w:p>
    <w:p>
      <w:r/>
      <w:r>
        <w:t>One of the clearest requests is also one of the simplest: send the fundraiser privately to people who may care. That might mean a text to two friends, an email to a former colleague or a direct message to someone who understands the pressures facing LGBTQ people in legal and housing disputes.</w:t>
      </w:r>
      <w:r/>
    </w:p>
    <w:p>
      <w:r/>
      <w:r>
        <w:t>A public post can disappear quickly in a busy feed. A personal note adds context and gives the recipient a reason to pause. It also lets supporters help without assuming that everyone has the money to make a large donation.</w:t>
      </w:r>
      <w:r/>
    </w:p>
    <w:p>
      <w:r/>
      <w:r>
        <w:t>For anyone sharing a fundraiser, a short message is usually enough: explain who needs help, why the timing matters and where people can contribute. Avoid embellishing the facts, and respect the organiser's instructions about privacy and contact.</w:t>
      </w:r>
      <w:r/>
    </w:p>
    <w:p>
      <w:pPr>
        <w:pStyle w:val="Heading2"/>
      </w:pPr>
      <w:r>
        <w:t>The wider LGBTQ support network matters</w:t>
      </w:r>
      <w:r/>
    </w:p>
    <w:p>
      <w:r/>
      <w:r>
        <w:t>This appeal sits within a broader landscape of LGBTQ legal and community advocacy. Organisations such as Lambda Legal and the National Center for Lesbian Rights have long highlighted how discrimination, family disputes and unequal access to justice can create consequences far beyond a single hearing.</w:t>
      </w:r>
      <w:r/>
    </w:p>
    <w:p>
      <w:r/>
      <w:r>
        <w:t>Formal organisations can provide vital expertise, but they can't always cover immediate, personal needs such as transport, groceries or a safe place to sleep. That is where informal networks often become crucial, although they can also become stretched when a crisis lasts for years.</w:t>
      </w:r>
      <w:r/>
    </w:p>
    <w:p>
      <w:r/>
      <w:r>
        <w:t>The blogger's description of several frayed safety nets is a powerful reminder that resilience isn't an unlimited resource. People can be capable, informed and well connected, yet still need direct help when institutions fail to provide a reliable landing place.</w:t>
      </w:r>
      <w:r/>
    </w:p>
    <w:p>
      <w:pPr>
        <w:pStyle w:val="Heading2"/>
      </w:pPr>
      <w:r>
        <w:t>What useful support looks like now</w:t>
      </w:r>
      <w:r/>
    </w:p>
    <w:p>
      <w:r/>
      <w:r>
        <w:t>The best response is to follow the person's stated priorities rather than sending generic advice or repeating resources they've already explored. If someone asks for a ride, a meal voucher or a regular check-in, that may be more useful than another list of housing websites.</w:t>
      </w:r>
      <w:r/>
    </w:p>
    <w:p>
      <w:r/>
      <w:r>
        <w:t>Potential supporters should also be clear about what they can genuinely offer. A dependable text every few days is better than a grand promise that fades after a week, while a small recurring donation may be easier to sustain than a one-off gesture made under pressure.</w:t>
      </w:r>
      <w:r/>
    </w:p>
    <w:p>
      <w:r/>
      <w:r>
        <w:t>The housing situation may change after the trial, so practical needs could shift quickly. For now, the most constructive approach is simple: listen carefully, share responsibly and offer help that is specific enough to be useful.</w:t>
      </w:r>
      <w:r/>
    </w:p>
    <w:p>
      <w:r/>
      <w:r>
        <w:t>A thoughtful message, a modest contribution or a lift to an appointment can all help restore a little control when so much feels uncertain.</w:t>
      </w:r>
      <w:r/>
    </w:p>
    <w:p>
      <w:pPr>
        <w:pStyle w:val="Heading2"/>
      </w:pPr>
      <w:r>
        <w:t>Closing Line</w:t>
      </w:r>
      <w:r/>
    </w:p>
    <w:p>
      <w:r/>
      <w:r>
        <w:t>Small, reliable acts of support can make a long legal crisis feel less lonely and more manageable.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0">
        <w:r>
          <w:rPr>
            <w:color w:val="0000EE"/>
            <w:u w:val="single"/>
          </w:rPr>
          <w:t>[2]</w:t>
        </w:r>
      </w:hyperlink>
      <w:r>
        <w:t xml:space="preserve">, </w:t>
      </w:r>
      <w:hyperlink r:id="rId12">
        <w:r>
          <w:rPr>
            <w:color w:val="0000EE"/>
            <w:u w:val="single"/>
          </w:rPr>
          <w:t>[6]</w:t>
        </w:r>
      </w:hyperlink>
      <w:r>
        <w:t xml:space="preserve">- Paragraph 3: </w:t>
      </w:r>
      <w:hyperlink r:id="rId10">
        <w:r>
          <w:rPr>
            <w:color w:val="0000EE"/>
            <w:u w:val="single"/>
          </w:rPr>
          <w:t>[2]</w:t>
        </w:r>
      </w:hyperlink>
      <w:r>
        <w:t xml:space="preserve">, </w:t>
      </w:r>
      <w:hyperlink r:id="rId13">
        <w:r>
          <w:rPr>
            <w:color w:val="0000EE"/>
            <w:u w:val="single"/>
          </w:rPr>
          <w:t>[7]</w:t>
        </w:r>
      </w:hyperlink>
      <w:r>
        <w:t xml:space="preserve">- Paragraph 4: </w:t>
      </w:r>
      <w:hyperlink r:id="rId11">
        <w:r>
          <w:rPr>
            <w:color w:val="0000EE"/>
            <w:u w:val="single"/>
          </w:rPr>
          <w:t>[5]</w:t>
        </w:r>
      </w:hyperlink>
      <w:r>
        <w:t xml:space="preserve">, </w:t>
      </w:r>
      <w:hyperlink r:id="rId12">
        <w:r>
          <w:rPr>
            <w:color w:val="0000EE"/>
            <w:u w:val="single"/>
          </w:rPr>
          <w:t>[6]</w:t>
        </w:r>
      </w:hyperlink>
      <w:r>
        <w:t xml:space="preserve">- Paragraph 5: </w:t>
      </w:r>
      <w:hyperlink r:id="rId10">
        <w:r>
          <w:rPr>
            <w:color w:val="0000EE"/>
            <w:u w:val="single"/>
          </w:rPr>
          <w:t>[2]</w:t>
        </w:r>
      </w:hyperlink>
      <w:r>
        <w:t xml:space="preserve">, </w:t>
      </w:r>
      <w:hyperlink r:id="rId14">
        <w:r>
          <w:rPr>
            <w:color w:val="0000EE"/>
            <w:u w:val="single"/>
          </w:rPr>
          <w:t>[3]</w:t>
        </w:r>
      </w:hyperlink>
      <w:r>
        <w:t xml:space="preserve">- Paragraph 6: </w:t>
      </w:r>
      <w:hyperlink r:id="rId10">
        <w:r>
          <w:rPr>
            <w:color w:val="0000EE"/>
            <w:u w:val="single"/>
          </w:rPr>
          <w:t>[2]</w:t>
        </w:r>
      </w:hyperlink>
      <w:r>
        <w:t xml:space="preserve">, </w:t>
      </w:r>
      <w:hyperlink r:id="rId15">
        <w:r>
          <w:rPr>
            <w:color w:val="0000EE"/>
            <w:u w:val="single"/>
          </w:rPr>
          <w:t>[4]</w:t>
        </w:r>
      </w:hyperlink>
      <w:r>
        <w:t xml:space="preserve">- Paragraph 7: </w:t>
      </w:r>
      <w:hyperlink r:id="rId11">
        <w:r>
          <w:rPr>
            <w:color w:val="0000EE"/>
            <w:u w:val="single"/>
          </w:rPr>
          <w:t>[5]</w:t>
        </w:r>
      </w:hyperlink>
      <w:r>
        <w:t xml:space="preserve">, </w:t>
      </w:r>
      <w:hyperlink r:id="rId13">
        <w:r>
          <w:rPr>
            <w:color w:val="0000EE"/>
            <w:u w:val="single"/>
          </w:rPr>
          <w:t>[7]</w:t>
        </w:r>
      </w:hyperlink>
      <w:r>
        <w:t xml:space="preserve">- Paragraph 8: </w:t>
      </w:r>
      <w:hyperlink r:id="rId12">
        <w:r>
          <w:rPr>
            <w:color w:val="0000EE"/>
            <w:u w:val="single"/>
          </w:rPr>
          <w:t>[6]</w:t>
        </w:r>
      </w:hyperlink>
      <w:r>
        <w:t xml:space="preserve">, </w:t>
      </w:r>
      <w:hyperlink r:id="rId13">
        <w:r>
          <w:rPr>
            <w:color w:val="0000EE"/>
            <w:u w:val="single"/>
          </w:rPr>
          <w:t>[7]</w:t>
        </w:r>
      </w:hyperlink>
      <w:r>
        <w:t xml:space="preserve">- Paragraph 9: </w:t>
      </w:r>
      <w:hyperlink r:id="rId10">
        <w:r>
          <w:rPr>
            <w:color w:val="0000EE"/>
            <w:u w:val="single"/>
          </w:rPr>
          <w:t>[2]</w:t>
        </w:r>
      </w:hyperlink>
      <w:r>
        <w:t xml:space="preserve">, </w:t>
      </w:r>
      <w:hyperlink r:id="rId11">
        <w:r>
          <w:rPr>
            <w:color w:val="0000EE"/>
            <w:u w:val="single"/>
          </w:rPr>
          <w:t>[5]</w:t>
        </w:r>
      </w:hyperlink>
      <w:r>
        <w:t xml:space="preserve">- Paragraph 10: </w:t>
      </w:r>
      <w:hyperlink r:id="rId10">
        <w:r>
          <w:rPr>
            <w:color w:val="0000EE"/>
            <w:u w:val="single"/>
          </w:rPr>
          <w:t>[2]</w:t>
        </w:r>
      </w:hyperlink>
      <w:r>
        <w:t xml:space="preserve">, </w:t>
      </w:r>
      <w:hyperlink r:id="rId14">
        <w:r>
          <w:rPr>
            <w:color w:val="0000EE"/>
            <w:u w:val="single"/>
          </w:rPr>
          <w:t>[3]</w:t>
        </w:r>
      </w:hyperlink>
      <w:r>
        <w:t xml:space="preserve">- Paragraph 11: </w:t>
      </w:r>
      <w:hyperlink r:id="rId10">
        <w:r>
          <w:rPr>
            <w:color w:val="0000EE"/>
            <w:u w:val="single"/>
          </w:rPr>
          <w:t>[2]</w:t>
        </w:r>
      </w:hyperlink>
      <w:r>
        <w:t xml:space="preserve">, </w:t>
      </w:r>
      <w:hyperlink r:id="rId15">
        <w:r>
          <w:rPr>
            <w:color w:val="0000EE"/>
            <w:u w:val="single"/>
          </w:rPr>
          <w:t>[4]</w:t>
        </w:r>
      </w:hyperlink>
      <w:r>
        <w:t xml:space="preserve">- Paragraph 12: </w:t>
      </w:r>
      <w:hyperlink r:id="rId11">
        <w:r>
          <w:rPr>
            <w:color w:val="0000EE"/>
            <w:u w:val="single"/>
          </w:rPr>
          <w:t>[5]</w:t>
        </w:r>
      </w:hyperlink>
      <w:r>
        <w:t xml:space="preserve">, </w:t>
      </w:r>
      <w:hyperlink r:id="rId12">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https://www.pghlesbian.com/2026/09/update-on-my-housing-options-after-the-divorce/?utm_source=rss&amp;utm_medium=rss&amp;utm_campaign=update-on-my-housing-options-after-the-divorce</w:t>
        </w:r>
      </w:hyperlink>
      <w:r>
        <w:t xml:space="preserve"> - Please view link - unable to able to access data</w:t>
      </w:r>
      <w:r/>
    </w:p>
    <w:p>
      <w:pPr>
        <w:pStyle w:val="ListNumber"/>
        <w:spacing w:line="240" w:lineRule="auto"/>
        <w:ind w:left="720"/>
      </w:pPr>
      <w:r/>
      <w:hyperlink r:id="rId10">
        <w:r>
          <w:rPr>
            <w:color w:val="0000EE"/>
            <w:u w:val="single"/>
          </w:rPr>
          <w:t>https://www.gofundme.com/f/support-lgbtq-blogger-in-need-of-legal-aid?_dt=eyJuYW1lIjoiTWVsaXNzYSBBbGNvcm4tRmVycnkiLCJyb2xlIjoiY28iLCJmdW5kcmFpc2VySWQiOiI3NTI3NjM1NSJ9&amp;modal=profile</w:t>
        </w:r>
      </w:hyperlink>
      <w:r>
        <w:t xml:space="preserve"> - This GoFundMe campaign was launched to support Sue Kerr, a Pittsburgh-based LGBTQ+ blogger, in securing legal representation for her housing rights. Despite being the legal occupant of her home for 18 years, Sue faced challenges accessing her property and obtaining necessary medications. The campaign aimed to raise at least $5,000 for a lawyer's retainer, as Sue's income from Social Security Disability Insurance was insufficient to cover legal fees. The fundraiser emphasized the importance of preserving Sue's blog, which serves as a vital resource for the LGBTQ+ community, and sought donations from readers, friends, family, and advocates.</w:t>
      </w:r>
      <w:r/>
    </w:p>
    <w:p>
      <w:pPr>
        <w:pStyle w:val="ListNumber"/>
        <w:spacing w:line="240" w:lineRule="auto"/>
        <w:ind w:left="720"/>
      </w:pPr>
      <w:r/>
      <w:hyperlink r:id="rId14">
        <w:r>
          <w:rPr>
            <w:color w:val="0000EE"/>
            <w:u w:val="single"/>
          </w:rPr>
          <w:t>https://www.tumgik.com/concerningegg</w:t>
        </w:r>
      </w:hyperlink>
      <w:r>
        <w:t xml:space="preserve"> - The 'concerningegg' Tumblr blog features a fundraising campaign initiated by Ivy and Beryl, a queer couple seeking community support to secure housing. The campaign highlights their need for financial assistance to move into a stable home together, emphasizing the challenges they face as a disabled, bi+trans couple of colour. The blog serves as a platform to share their story and solicit support from the community, underscoring the importance of mutual aid and solidarity within the LGBTQ+ community.</w:t>
      </w:r>
      <w:r/>
    </w:p>
    <w:p>
      <w:pPr>
        <w:pStyle w:val="ListNumber"/>
        <w:spacing w:line="240" w:lineRule="auto"/>
        <w:ind w:left="720"/>
      </w:pPr>
      <w:r/>
      <w:hyperlink r:id="rId15">
        <w:r>
          <w:rPr>
            <w:color w:val="0000EE"/>
            <w:u w:val="single"/>
          </w:rPr>
          <w:t>https://www.tumgik.com/amorphamor</w:t>
        </w:r>
      </w:hyperlink>
      <w:r>
        <w:t xml:space="preserve"> - The 'amorphamor' Tumblr blog hosts a mutual aid campaign for three trans friends—Mishka, Dani, and Harvey—who are in need of funds to secure housing. The campaign details their current housing instability and the difficulties they face, including a problematic hotel situation. The blog serves as a call to action for the community to support these individuals through donations or by sharing the campaign, highlighting the importance of mutual aid and community support for transgender individuals facing housing challenges.</w:t>
      </w:r>
      <w:r/>
    </w:p>
    <w:p>
      <w:pPr>
        <w:pStyle w:val="ListNumber"/>
        <w:spacing w:line="240" w:lineRule="auto"/>
        <w:ind w:left="720"/>
      </w:pPr>
      <w:r/>
      <w:hyperlink r:id="rId11">
        <w:r>
          <w:rPr>
            <w:color w:val="0000EE"/>
            <w:u w:val="single"/>
          </w:rPr>
          <w:t>https://www.nclrights.org/about-us/press-release/nclr-issues-statement-on-outpouring-of-support-for-long-time-legal-director-shannon-minter-following-devastating-tornado-in-texas/</w:t>
        </w:r>
      </w:hyperlink>
      <w:r>
        <w:t xml:space="preserve"> - The National Center for Lesbian Rights (NCLR) issued a statement expressing support for their Legal Director, Shannon Minter, whose home in rural Texas was destroyed by a powerful tornado. The statement highlighted the outpouring of support from the community, including two separate GoFundMe campaigns to assist Shannon and his wife, Robin, in caring for their family of pets during this challenging time. The NCLR emphasized Shannon's resilience and the community's commitment to supporting LGBTQ+ leaders in times of crisis.</w:t>
      </w:r>
      <w:r/>
    </w:p>
    <w:p>
      <w:pPr>
        <w:pStyle w:val="ListNumber"/>
        <w:spacing w:line="240" w:lineRule="auto"/>
        <w:ind w:left="720"/>
      </w:pPr>
      <w:r/>
      <w:hyperlink r:id="rId12">
        <w:r>
          <w:rPr>
            <w:color w:val="0000EE"/>
            <w:u w:val="single"/>
          </w:rPr>
          <w:t>https://en.wikipedia.org/wiki/Lambda_Legal</w:t>
        </w:r>
      </w:hyperlink>
      <w:r>
        <w:t xml:space="preserve"> - Lambda Legal is an American civil rights organization dedicated to advancing the human and civil rights of the lesbian, gay, bisexual, transgender, and queer (LGBTQ) community, as well as people living with HIV/AIDS. Founded in 1973, Lambda Legal engages in impact litigation, public policy advocacy, and public education to achieve full recognition of civil rights for LGBTQ individuals and those living with HIV. The organization has been instrumental in landmark legal victories, including the 2015 Supreme Court decision legalizing same-sex marriage nationwide.</w:t>
      </w:r>
      <w:r/>
    </w:p>
    <w:p>
      <w:pPr>
        <w:pStyle w:val="ListNumber"/>
        <w:spacing w:line="240" w:lineRule="auto"/>
        <w:ind w:left="720"/>
      </w:pPr>
      <w:r/>
      <w:hyperlink r:id="rId13">
        <w:r>
          <w:rPr>
            <w:color w:val="0000EE"/>
            <w:u w:val="single"/>
          </w:rPr>
          <w:t>https://www.startribune.com/lambda-legal-a-nonprofit-supporting-lgbtq-rights-exceeded-fundraising-goal-by-105m/601368300</w:t>
        </w:r>
      </w:hyperlink>
      <w:r>
        <w:t xml:space="preserve"> - Lambda Legal, a nonprofit organization advocating for LGBTQ+ rights, announced that it had raised $285 million, surpassing its original fundraising goal by $105 million. The funds were raised in response to a wave of legislative actions targeting LGBTQ+ rights, underscoring the community's commitment to defending and advancing civil rights. The organization has a history of significant legal victories, including the 2015 Supreme Court decision legalizing same-sex marriage and the 2003 ruling that decriminalized same-sex sexual activity.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pghlesbian.com/2026/09/update-on-my-housing-options-after-the-divorce/?utm_source=rss&amp;utm_medium=rss&amp;utm_campaign=update-on-my-housing-options-after-the-divorce" TargetMode="External"/><Relationship Id="rId10" Type="http://schemas.openxmlformats.org/officeDocument/2006/relationships/hyperlink" Target="https://www.gofundme.com/f/support-lgbtq-blogger-in-need-of-legal-aid?_dt=eyJuYW1lIjoiTWVsaXNzYSBBbGNvcm4tRmVycnkiLCJyb2xlIjoiY28iLCJmdW5kcmFpc2VySWQiOiI3NTI3NjM1NSJ9&amp;modal=profile" TargetMode="External"/><Relationship Id="rId11" Type="http://schemas.openxmlformats.org/officeDocument/2006/relationships/hyperlink" Target="https://www.nclrights.org/about-us/press-release/nclr-issues-statement-on-outpouring-of-support-for-long-time-legal-director-shannon-minter-following-devastating-tornado-in-texas/" TargetMode="External"/><Relationship Id="rId12" Type="http://schemas.openxmlformats.org/officeDocument/2006/relationships/hyperlink" Target="https://en.wikipedia.org/wiki/Lambda_Legal" TargetMode="External"/><Relationship Id="rId13" Type="http://schemas.openxmlformats.org/officeDocument/2006/relationships/hyperlink" Target="https://www.startribune.com/lambda-legal-a-nonprofit-supporting-lgbtq-rights-exceeded-fundraising-goal-by-105m/601368300" TargetMode="External"/><Relationship Id="rId14" Type="http://schemas.openxmlformats.org/officeDocument/2006/relationships/hyperlink" Target="https://www.tumgik.com/concerningegg" TargetMode="External"/><Relationship Id="rId15" Type="http://schemas.openxmlformats.org/officeDocument/2006/relationships/hyperlink" Target="https://www.tumgik.com/amorphamo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