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LGBTQ+ Back-to-School Guide for Inclusive Classrooms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Families are heading back to school amid fresh legal changes affecting LGBTQ+ representation, religious opt-outs and transgender pupils’ participation in sport. Here’s what parents need to know, from checking school policies to documenting concerns, while recognising the inclusive progress already taking shape in classrooms across the US.</w:t>
      </w:r>
      <w:r/>
    </w:p>
    <w:p>
      <w:pPr>
        <w:pStyle w:val="Heading2"/>
      </w:pPr>
      <w:r>
        <w:t>Essential Takeaways</w:t>
      </w:r>
      <w:r/>
      <w:r/>
    </w:p>
    <w:p>
      <w:pPr>
        <w:pStyle w:val="ListBullet"/>
        <w:spacing w:line="240" w:lineRule="auto"/>
        <w:ind w:left="720"/>
      </w:pPr>
      <w:r/>
      <w:r>
        <w:rPr>
          <w:b/>
        </w:rPr>
        <w:t>New classroom questions:</w:t>
      </w:r>
      <w:r>
        <w:t xml:space="preserve"> Recent Supreme Court rulings may affect LGBTQ+ books, lessons and parental exemption procedures.</w:t>
      </w:r>
      <w:r/>
    </w:p>
    <w:p>
      <w:pPr>
        <w:pStyle w:val="ListBullet"/>
        <w:spacing w:line="240" w:lineRule="auto"/>
        <w:ind w:left="720"/>
      </w:pPr>
      <w:r/>
      <w:r>
        <w:rPr>
          <w:b/>
        </w:rPr>
        <w:t>Sports rules have shifted:</w:t>
      </w:r>
      <w:r>
        <w:t xml:space="preserve"> Some states can restrict transgender girls’ participation in girls’ school sport under laws challenged before the Court.</w:t>
      </w:r>
      <w:r/>
    </w:p>
    <w:p>
      <w:pPr>
        <w:pStyle w:val="ListBullet"/>
        <w:spacing w:line="240" w:lineRule="auto"/>
        <w:ind w:left="720"/>
      </w:pPr>
      <w:r/>
      <w:r>
        <w:rPr>
          <w:b/>
        </w:rPr>
        <w:t>Policies matter:</w:t>
      </w:r>
      <w:r>
        <w:t xml:space="preserve"> Parents should review rules covering curriculum, privacy, notification and extracurricular activities.</w:t>
      </w:r>
      <w:r/>
    </w:p>
    <w:p>
      <w:pPr>
        <w:pStyle w:val="ListBullet"/>
        <w:spacing w:line="240" w:lineRule="auto"/>
        <w:ind w:left="720"/>
      </w:pPr>
      <w:r/>
      <w:r>
        <w:rPr>
          <w:b/>
        </w:rPr>
        <w:t>Keep a paper trail:</w:t>
      </w:r>
      <w:r>
        <w:t xml:space="preserve"> Save notices, emails and meeting notes if a child experiences exclusion or discrimination.</w:t>
      </w:r>
      <w:r/>
    </w:p>
    <w:p>
      <w:pPr>
        <w:pStyle w:val="ListBullet"/>
        <w:spacing w:line="240" w:lineRule="auto"/>
        <w:ind w:left="720"/>
      </w:pPr>
      <w:r/>
      <w:r>
        <w:rPr>
          <w:b/>
        </w:rPr>
        <w:t>Progress continues:</w:t>
      </w:r>
      <w:r>
        <w:t xml:space="preserve"> Eight states require LGBTQ+-inclusive teaching, giving many pupils greater visibility at school.</w:t>
      </w:r>
      <w:r/>
      <w:r/>
    </w:p>
    <w:p>
      <w:pPr>
        <w:pStyle w:val="Heading2"/>
      </w:pPr>
      <w:r>
        <w:t>A new school year, with old arguments back in focus</w:t>
      </w:r>
      <w:r/>
    </w:p>
    <w:p>
      <w:r/>
      <w:r>
        <w:t>Back-to-school shopping usually means sharpened pencils, fresh trainers and the faint smell of new exercise books. For LGBTQ+ families, though, the start of term can also bring difficult questions about whether their lives will be acknowledged, protected or quietly edited out.</w:t>
      </w:r>
      <w:r/>
    </w:p>
    <w:p>
      <w:r/>
      <w:r>
        <w:t>The latest legal landscape makes those questions more urgent. The Supreme Court's decision in Mahmoud v. Taylor gave some parents stronger grounds to request exemptions from lessons they say conflict with their religious beliefs, according to the case materials published by Cornell Law School. Schools must now balance those requests with a curriculum that doesn't make LGBTQ+ pupils and families invisible.</w:t>
      </w:r>
      <w:r/>
    </w:p>
    <w:p>
      <w:r/>
      <w:r>
        <w:t>That balance won't be simple. A policy that appears neutral on paper can still leave children feeling singled out if LGBTQ+ stories disappear while other family experiences remain part of everyday teaching.</w:t>
      </w:r>
      <w:r/>
    </w:p>
    <w:p>
      <w:pPr>
        <w:pStyle w:val="Heading2"/>
      </w:pPr>
      <w:r>
        <w:t>What the curriculum ruling means for families</w:t>
      </w:r>
      <w:r/>
    </w:p>
    <w:p>
      <w:r/>
      <w:r>
        <w:t>The practical impact is likely to be felt through school notices, revised reading lists and new opt-out arrangements. Parents should look for clear information about which lessons are affected, who can request an exemption and how schools will support pupils who remain in class.</w:t>
      </w:r>
      <w:r/>
    </w:p>
    <w:p>
      <w:r/>
      <w:r>
        <w:t>It matters because inclusive books aren't merely decorative. They can help children understand classmates whose families, identities or experiences differ from their own. The American Psychological Association's legal briefing on LGBTQ+ student rights highlights the wider educational and wellbeing considerations surrounding inclusion.</w:t>
      </w:r>
      <w:r/>
    </w:p>
    <w:p>
      <w:r/>
      <w:r>
        <w:t>Parents don't need to wait for a controversy before asking questions. A friendly message to a teacher or headteacher can establish how the school represents same-sex parents, transgender people and other LGBTQ+ communities in books, displays and lessons.</w:t>
      </w:r>
      <w:r/>
    </w:p>
    <w:p>
      <w:pPr>
        <w:pStyle w:val="Heading2"/>
      </w:pPr>
      <w:r>
        <w:t>Transgender pupils face a changing sports landscape</w:t>
      </w:r>
      <w:r/>
    </w:p>
    <w:p>
      <w:r/>
      <w:r>
        <w:t>The Supreme Court's decisions in West Virginia v. B.P.J. and Little v. Hecox have allowed states to enforce restrictions on transgender girls competing in girls' school sport under the laws involved in those cases. Legal summaries from Cornell and the American Psychological Association set out the importance of the challenges, while Jurist reported on the Court's ruling upholding bans in West Virginia and Idaho.</w:t>
      </w:r>
      <w:r/>
    </w:p>
    <w:p>
      <w:r/>
      <w:r>
        <w:t>For families, the immediate task is finding out what applies locally. State law, district policy, age groups and individual sports can all affect the answer, so a national headline won't necessarily tell parents what their own child can expect at school.</w:t>
      </w:r>
      <w:r/>
    </w:p>
    <w:p>
      <w:r/>
      <w:r>
        <w:t>The argument has also become a flashpoint far beyond changing rooms and playing fields. Supporters of trans pupils say debates about sport are too often used to question their place in school life altogether. Even where rules are restrictive, classmates, parents and teachers can still make clear that transgender children deserve dignity and safety.</w:t>
      </w:r>
      <w:r/>
    </w:p>
    <w:p>
      <w:pPr>
        <w:pStyle w:val="Heading2"/>
      </w:pPr>
      <w:r>
        <w:t>How to prepare before a problem starts</w:t>
      </w:r>
      <w:r/>
    </w:p>
    <w:p>
      <w:r/>
      <w:r>
        <w:t>Start with the school handbook and district website. Look for policies on LGBTQ+ pupils and families, parental notification, student privacy, curriculum content, bullying and extracurricular activities. If the language is vague, ask for clarification in writing.</w:t>
      </w:r>
      <w:r/>
    </w:p>
    <w:p>
      <w:r/>
      <w:r>
        <w:t>It can help to introduce yourself to your child's teacher early in the year. Ask how different families are represented in classroom materials and what the school does if a pupil faces harassment or exclusion. Early contact feels less dramatic than raising a concern after an incident, and it gives everyone a clearer starting point.</w:t>
      </w:r>
      <w:r/>
    </w:p>
    <w:p>
      <w:r/>
      <w:r>
        <w:t>If something does go wrong, keep records. Save emails and school notices, note dates and names, and write down what was agreed after meetings with teachers or administrators. According to Family Equality's guidance, parents can also seek support from other families, educators and local LGBTQ+ organisations rather than trying to manage the situation alone.</w:t>
      </w:r>
      <w:r/>
    </w:p>
    <w:p>
      <w:pPr>
        <w:pStyle w:val="Heading2"/>
      </w:pPr>
      <w:r>
        <w:t>Inclusive education still offers reasons for hope</w:t>
      </w:r>
      <w:r/>
    </w:p>
    <w:p>
      <w:r/>
      <w:r>
        <w:t>The legal setbacks are real, but they aren't the whole story. Eight US states have laws requiring LGBTQ+-inclusive curriculum, and implementation is continuing in districts that previously offered little or no representation.</w:t>
      </w:r>
      <w:r/>
    </w:p>
    <w:p>
      <w:r/>
      <w:r>
        <w:t>That progress can be meaningful for every pupil, not only LGBTQ+ children. Seeing different families and identities treated as part of ordinary life can make classrooms feel broader, kinder and more truthful. The Advocate's report also notes the connection between inclusive education, representation and pupils' academic experience.</w:t>
      </w:r>
      <w:r/>
    </w:p>
    <w:p>
      <w:r/>
      <w:r>
        <w:t>The outlook remains unsettled, but schools still have room to choose thoughtful policies and welcoming practice. For parents, staying informed and organised is a small but powerful way to keep inclusion on the agenda.</w:t>
      </w:r>
      <w:r/>
    </w:p>
    <w:p>
      <w:r/>
      <w:r>
        <w:t>Know the rules, keep records and make sure every child can see their family treated with respect.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0">
        <w:r>
          <w:rPr>
            <w:color w:val="0000EE"/>
            <w:u w:val="single"/>
          </w:rPr>
          <w:t>[4]</w:t>
        </w:r>
      </w:hyperlink>
      <w:r>
        <w:t xml:space="preserve">, </w:t>
      </w:r>
      <w:hyperlink r:id="rId11">
        <w:r>
          <w:rPr>
            <w:color w:val="0000EE"/>
            <w:u w:val="single"/>
          </w:rPr>
          <w:t>[5]</w:t>
        </w:r>
      </w:hyperlink>
      <w:r>
        <w:t xml:space="preserve">- Paragraph 3: </w:t>
      </w:r>
      <w:hyperlink r:id="rId12">
        <w:r>
          <w:rPr>
            <w:color w:val="0000EE"/>
            <w:u w:val="single"/>
          </w:rPr>
          <w:t>[3]</w:t>
        </w:r>
      </w:hyperlink>
      <w:r>
        <w:t xml:space="preserve">, </w:t>
      </w:r>
      <w:hyperlink r:id="rId9">
        <w:r>
          <w:rPr>
            <w:color w:val="0000EE"/>
            <w:u w:val="single"/>
          </w:rPr>
          <w:t>[7]</w:t>
        </w:r>
      </w:hyperlink>
      <w:r>
        <w:t xml:space="preserve">- Paragraph 4: </w:t>
      </w:r>
      <w:hyperlink r:id="rId11">
        <w:r>
          <w:rPr>
            <w:color w:val="0000EE"/>
            <w:u w:val="single"/>
          </w:rPr>
          <w:t>[5]</w:t>
        </w:r>
      </w:hyperlink>
      <w:r>
        <w:t xml:space="preserve">, </w:t>
      </w:r>
      <w:hyperlink r:id="rId13">
        <w:r>
          <w:rPr>
            <w:color w:val="0000EE"/>
            <w:u w:val="single"/>
          </w:rPr>
          <w:t>[6]</w:t>
        </w:r>
      </w:hyperlink>
      <w:r>
        <w:t xml:space="preserve">- Paragraph 5: </w:t>
      </w:r>
      <w:hyperlink r:id="rId12">
        <w:r>
          <w:rPr>
            <w:color w:val="0000EE"/>
            <w:u w:val="single"/>
          </w:rPr>
          <w:t>[3]</w:t>
        </w:r>
      </w:hyperlink>
      <w:r>
        <w:t xml:space="preserve">, </w:t>
      </w:r>
      <w:hyperlink r:id="rId13">
        <w:r>
          <w:rPr>
            <w:color w:val="0000EE"/>
            <w:u w:val="single"/>
          </w:rPr>
          <w:t>[6]</w:t>
        </w:r>
      </w:hyperlink>
      <w:r>
        <w:t xml:space="preserve">- Paragraph 6: </w:t>
      </w:r>
      <w:hyperlink r:id="rId9">
        <w:r>
          <w:rPr>
            <w:color w:val="0000EE"/>
            <w:u w:val="single"/>
          </w:rPr>
          <w:t>[2]</w:t>
        </w:r>
      </w:hyperlink>
      <w:r>
        <w:t xml:space="preserve">, </w:t>
      </w:r>
      <w:hyperlink r:id="rId9">
        <w:r>
          <w:rPr>
            <w:color w:val="0000EE"/>
            <w:u w:val="single"/>
          </w:rPr>
          <w:t>[7]</w:t>
        </w:r>
      </w:hyperlink>
      <w:r>
        <w:t xml:space="preserve">- Paragraph 7: </w:t>
      </w:r>
      <w:hyperlink r:id="rId9">
        <w:r>
          <w:rPr>
            <w:color w:val="0000EE"/>
            <w:u w:val="single"/>
          </w:rPr>
          <w:t>[2]</w:t>
        </w:r>
      </w:hyperlink>
      <w:r>
        <w:t xml:space="preserve">, </w:t>
      </w:r>
      <w:hyperlink r:id="rId12">
        <w:r>
          <w:rPr>
            <w:color w:val="0000EE"/>
            <w:u w:val="single"/>
          </w:rPr>
          <w:t>[3]</w:t>
        </w:r>
      </w:hyperlink>
      <w:r>
        <w:t xml:space="preserve">- Paragraph 8: </w:t>
      </w:r>
      <w:hyperlink r:id="rId9">
        <w:r>
          <w:rPr>
            <w:color w:val="0000EE"/>
            <w:u w:val="single"/>
          </w:rPr>
          <w:t>[2]</w:t>
        </w:r>
      </w:hyperlink>
      <w:r>
        <w:t xml:space="preserve">, </w:t>
      </w:r>
      <w:hyperlink r:id="rId9">
        <w:r>
          <w:rPr>
            <w:color w:val="0000EE"/>
            <w:u w:val="single"/>
          </w:rPr>
          <w:t>[7]</w:t>
        </w:r>
      </w:hyperlink>
      <w:r>
        <w:t xml:space="preserve">- Paragraph 9: </w:t>
      </w:r>
      <w:hyperlink r:id="rId9">
        <w:r>
          <w:rPr>
            <w:color w:val="0000EE"/>
            <w:u w:val="single"/>
          </w:rPr>
          <w:t>[2]</w:t>
        </w:r>
      </w:hyperlink>
      <w:r>
        <w:t xml:space="preserve">, </w:t>
      </w:r>
      <w:hyperlink r:id="rId12">
        <w:r>
          <w:rPr>
            <w:color w:val="0000EE"/>
            <w:u w:val="single"/>
          </w:rPr>
          <w:t>[3]</w:t>
        </w:r>
      </w:hyperlink>
      <w:r>
        <w:t xml:space="preserve">- Paragraph 10: </w:t>
      </w:r>
      <w:hyperlink r:id="rId9">
        <w:r>
          <w:rPr>
            <w:color w:val="0000EE"/>
            <w:u w:val="single"/>
          </w:rPr>
          <w:t>[2]</w:t>
        </w:r>
      </w:hyperlink>
      <w:r>
        <w:t xml:space="preserve">, </w:t>
      </w:r>
      <w:hyperlink r:id="rId9">
        <w:r>
          <w:rPr>
            <w:color w:val="0000EE"/>
            <w:u w:val="single"/>
          </w:rPr>
          <w:t>[7]</w:t>
        </w:r>
      </w:hyperlink>
      <w:r>
        <w:t xml:space="preserve">- Paragraph 11: </w:t>
      </w:r>
      <w:hyperlink r:id="rId9">
        <w:r>
          <w:rPr>
            <w:color w:val="0000EE"/>
            <w:u w:val="single"/>
          </w:rPr>
          <w:t>[2]</w:t>
        </w:r>
      </w:hyperlink>
      <w:r>
        <w:t xml:space="preserve">, </w:t>
      </w:r>
      <w:hyperlink r:id="rId9">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https://www.advocate.com/opinion/lgbtq-back-to-school</w:t>
        </w:r>
      </w:hyperlink>
      <w:r>
        <w:t xml:space="preserve"> - Please view link - unable to able to access data</w:t>
      </w:r>
      <w:r/>
    </w:p>
    <w:p>
      <w:pPr>
        <w:pStyle w:val="ListNumber"/>
        <w:spacing w:line="240" w:lineRule="auto"/>
        <w:ind w:left="720"/>
      </w:pPr>
      <w:r/>
      <w:hyperlink r:id="rId9">
        <w:r>
          <w:rPr>
            <w:color w:val="0000EE"/>
            <w:u w:val="single"/>
          </w:rPr>
          <w:t>https://www.advocate.com/opinion/lgbtq-back-to-school</w:t>
        </w:r>
      </w:hyperlink>
      <w:r>
        <w:t xml:space="preserve"> - This article discusses the challenges and opportunities LGBTQ+ families face as children return to school, focusing on recent Supreme Court decisions affecting LGBTQ+ rights in education. It highlights the Mahmoud v. Taylor case, which allows parents to seek exemptions from LGBTQ+ inclusive curricula based on religious beliefs, and the West Virginia v. B.P.J. and Little v. Hecox cases, which permit states to exclude transgender girls from girls' sports teams. The piece also offers practical advice for parents to advocate for inclusion in schools, such as understanding school policies, engaging with educators, documenting incidents of discrimination, and seeking support from allies and organizations like Family Equality.</w:t>
      </w:r>
      <w:r/>
    </w:p>
    <w:p>
      <w:pPr>
        <w:pStyle w:val="ListNumber"/>
        <w:spacing w:line="240" w:lineRule="auto"/>
        <w:ind w:left="720"/>
      </w:pPr>
      <w:r/>
      <w:hyperlink r:id="rId12">
        <w:r>
          <w:rPr>
            <w:color w:val="0000EE"/>
            <w:u w:val="single"/>
          </w:rPr>
          <w:t>https://www.apa.org/about/offices/ogc/amicus/little</w:t>
        </w:r>
      </w:hyperlink>
      <w:r>
        <w:t xml:space="preserve"> - The American Psychological Association (APA) filed an amicus brief in the Supreme Court case Little v. Hecox, which challenges Idaho's law excluding transgender students from participating in school sports teams consistent with their gender identity. The brief argues that such exclusionary policies pose serious risks to the health and well-being of transgender individuals and impede clinically supported treatment for gender dysphoria. It emphasizes that social gender transition, including participation in activities consistent with one's gender identity, is a crucial, clinically supported treatment for gender dysphoria that significantly reduces psychological distress.</w:t>
      </w:r>
      <w:r/>
    </w:p>
    <w:p>
      <w:pPr>
        <w:pStyle w:val="ListNumber"/>
        <w:spacing w:line="240" w:lineRule="auto"/>
        <w:ind w:left="720"/>
      </w:pPr>
      <w:r/>
      <w:hyperlink r:id="rId10">
        <w:r>
          <w:rPr>
            <w:color w:val="0000EE"/>
            <w:u w:val="single"/>
          </w:rPr>
          <w:t>https://www.law.cornell.edu/supct/cert/24-43</w:t>
        </w:r>
      </w:hyperlink>
      <w:r>
        <w:t xml:space="preserve"> - This page provides information on the Supreme Court case West Virginia v. B.P.J., which addresses whether states may prevent transgender girls from participating in girls' sports. The case involves a transgender girl, B.P.J., who was barred from participating in her middle school's girls' sports teams in West Virginia. The Supreme Court granted certiorari to determine if such exclusionary policies violate Title IX and the Equal Protection Clause of the Fourteenth Amendment.</w:t>
      </w:r>
      <w:r/>
    </w:p>
    <w:p>
      <w:pPr>
        <w:pStyle w:val="ListNumber"/>
        <w:spacing w:line="240" w:lineRule="auto"/>
        <w:ind w:left="720"/>
      </w:pPr>
      <w:r/>
      <w:hyperlink r:id="rId11">
        <w:r>
          <w:rPr>
            <w:color w:val="0000EE"/>
            <w:u w:val="single"/>
          </w:rPr>
          <w:t>https://www.law.cornell.edu/supct/cert/24-38</w:t>
        </w:r>
      </w:hyperlink>
      <w:r>
        <w:t xml:space="preserve"> - This page details the Supreme Court case Little v. Hecox, which examines whether laws that limit participation in women's and girls' sports to biological females violate the Equal Protection Clause of the 14th Amendment. The case involves a transgender woman, Lindsay Hecox, who challenged Idaho's law after being prevented from trying out for the women's cross-country team. The Supreme Court granted certiorari to address this constitutional question.</w:t>
      </w:r>
      <w:r/>
    </w:p>
    <w:p>
      <w:pPr>
        <w:pStyle w:val="ListNumber"/>
        <w:spacing w:line="240" w:lineRule="auto"/>
        <w:ind w:left="720"/>
      </w:pPr>
      <w:r/>
      <w:hyperlink r:id="rId13">
        <w:r>
          <w:rPr>
            <w:color w:val="0000EE"/>
            <w:u w:val="single"/>
          </w:rPr>
          <w:t>https://www.jurist.org/news/2026/06/supreme-court-upholds-west-virginia-idaho-bans-on-transgender-athletes-in-womens-sports/</w:t>
        </w:r>
      </w:hyperlink>
      <w:r>
        <w:t xml:space="preserve"> - This article reports on the Supreme Court's decision to uphold bans in West Virginia and Idaho that exclude transgender athletes from participating in women's sports. The Court ruled that neither Title IX nor the Equal Protection Clause requires schools to allow participation based on gender identity rather than biological sex. The decision has significant implications for transgender rights in sports and education.</w:t>
      </w:r>
      <w:r/>
    </w:p>
    <w:p>
      <w:pPr>
        <w:pStyle w:val="ListNumber"/>
        <w:spacing w:line="240" w:lineRule="auto"/>
        <w:ind w:left="720"/>
      </w:pPr>
      <w:r/>
      <w:hyperlink r:id="rId9">
        <w:r>
          <w:rPr>
            <w:color w:val="0000EE"/>
            <w:u w:val="single"/>
          </w:rPr>
          <w:t>https://www.advocate.com/opinion/lgbtq-back-to-school</w:t>
        </w:r>
      </w:hyperlink>
      <w:r>
        <w:t xml:space="preserve"> - This article discusses the challenges and opportunities LGBTQ+ families face as children return to school, focusing on recent Supreme Court decisions affecting LGBTQ+ rights in education. It highlights the Mahmoud v. Taylor case, which allows parents to seek exemptions from LGBTQ+ inclusive curricula based on religious beliefs, and the West Virginia v. B.P.J. and Little v. Hecox cases, which permit states to exclude transgender girls from girls' sports teams. The piece also offers practical advice for parents to advocate for inclusion in schools, such as understanding school policies, engaging with educators, documenting incidents of discrimination, and seeking support from allies and organizations like Family Equality.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dvocate.com/opinion/lgbtq-back-to-school" TargetMode="External"/><Relationship Id="rId10" Type="http://schemas.openxmlformats.org/officeDocument/2006/relationships/hyperlink" Target="https://www.law.cornell.edu/supct/cert/24-43" TargetMode="External"/><Relationship Id="rId11" Type="http://schemas.openxmlformats.org/officeDocument/2006/relationships/hyperlink" Target="https://www.law.cornell.edu/supct/cert/24-38" TargetMode="External"/><Relationship Id="rId12" Type="http://schemas.openxmlformats.org/officeDocument/2006/relationships/hyperlink" Target="https://www.apa.org/about/offices/ogc/amicus/little" TargetMode="External"/><Relationship Id="rId13" Type="http://schemas.openxmlformats.org/officeDocument/2006/relationships/hyperlink" Target="https://www.jurist.org/news/2026/06/supreme-court-upholds-west-virginia-idaho-bans-on-transgender-athletes-in-womens-spor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