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Philadelphia LGBTQ+ events, fundraising and writing opportunities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Philadelphia's LGBTQ+ community has a busy autumn ahead, with practical ERG training, a major advocacy gala, a legal portrait fundraiser and a new invitation for trans writers. Together, the initiatives offer several ways to learn, connect, celebrate local leadership or share a deeply personal story.</w:t>
      </w:r>
      <w:r/>
    </w:p>
    <w:p>
      <w:pPr>
        <w:pStyle w:val="Heading2"/>
      </w:pPr>
      <w:r>
        <w:t>ERG Summit puts workplace inclusion into practice</w:t>
      </w:r>
      <w:r/>
    </w:p>
    <w:p>
      <w:r/>
      <w:r>
        <w:t>The Independence Business Alliance's ERG Summit 2026 is designed for people who want employee resource groups to do more than sit quietly on an organisational chart. Taking place on 17 September at Quorum in University City, the half-day event will combine networking with hands-on sessions for ERG leaders, business professionals, LGBTQ+ community members and allies. According to the Independence Business Alliance, the programme is intended for both established groups and those still finding their feet.</w:t>
      </w:r>
      <w:r/>
    </w:p>
    <w:p>
      <w:r/>
      <w:r>
        <w:t>Topics include meeting facilitation, event planning and public speaking, alongside discussions about making ERG programmes useful and appealing to their audiences. That practical focus matters. An ERG can have plenty of goodwill behind it, but without clear goals and confident organisers, even a well-funded group can lose momentum. Industry event information from the alliance highlights collaboration with other parts of an organisation as another central theme.</w:t>
      </w:r>
      <w:r/>
    </w:p>
    <w:p>
      <w:r/>
      <w:r>
        <w:t>The summit runs from 11.30am to 5pm. Tickets and sponsorship information are available through the Independence Business Alliance website, while its events calendar provides additional details for people planning their September diary.</w:t>
      </w:r>
      <w:r/>
    </w:p>
    <w:p>
      <w:pPr>
        <w:pStyle w:val="Heading2"/>
      </w:pPr>
      <w:r>
        <w:t>Jim Obergefell to headline Liberty City's first gala</w:t>
      </w:r>
      <w:r/>
    </w:p>
    <w:p>
      <w:r/>
      <w:r>
        <w:t>A week later, Liberty City LGBTQ+ Democratic Club will hold its inaugural gala, bringing together celebration and political fundraising. The 24 September event will feature a cocktail reception, performances, dinner, a silent auction and awards recognising the organisation's earlier leadership. Its keynote speaker will be Jim Obergefell, whose role as the lead plaintiff in the US Supreme Court marriage-equality case made his name part of modern LGBTQ+ civil-rights history.</w:t>
      </w:r>
      <w:r/>
    </w:p>
    <w:p>
      <w:r/>
      <w:r>
        <w:t>Obergefell's official website continues to centre his advocacy and public speaking work, making the appearance a fitting choice for an evening focused on movement-building. The gala's proceeds will support work with LGBTQ+ candidates and allies, voter organising, civil-rights advocacy, coalition-building and leadership development, according to Liberty City's event information.</w:t>
      </w:r>
      <w:r/>
    </w:p>
    <w:p>
      <w:r/>
      <w:r>
        <w:t>The event runs from 6pm to 9pm at the IATSE Local 8 Ballroom in South Philadelphia. For attendees, it promises the familiar gala mix of polished surroundings and serious purpose. The auction may provide the fun, but the longer-term aim is political infrastructure.</w:t>
      </w:r>
      <w:r/>
    </w:p>
    <w:p>
      <w:pPr>
        <w:pStyle w:val="Heading2"/>
      </w:pPr>
      <w:r>
        <w:t>A portrait project honours Judge Abbe Fletman</w:t>
      </w:r>
      <w:r/>
    </w:p>
    <w:p>
      <w:r/>
      <w:r>
        <w:t>Philadelphia's LGBTQ+ Bar Association is raising money for a portrait of Judge Abbe Fletman, which will be unveiled at City Hall on 8 October. The project recognises LGBTQ+ legal figures who helped make it possible for later generations of LGBTQ+ lawyers to work openly and lead within the profession.</w:t>
      </w:r>
      <w:r/>
    </w:p>
    <w:p>
      <w:r/>
      <w:r>
        <w:t>Fletman retired from full-time service on the Court of Common Pleas last year after more than four decades in law and public service. The Philadelphia LGBTQ+ Bar Association identifies her as a founding member and highlights her work on equal justice, women's rights, Title IX and legal mentorship. Its website provides information about the association and the fundraising effort.</w:t>
      </w:r>
      <w:r/>
    </w:p>
    <w:p>
      <w:r/>
      <w:r>
        <w:t>Donations to the Judicial Portrait Project can be made through the association's website. As the organisation is a 501(c)(3), eligible contributions are tax-deductible. It is a small, tangible way to support a larger story about visibility, institutional memory and who gets represented on the walls of public life.</w:t>
      </w:r>
      <w:r/>
    </w:p>
    <w:p>
      <w:pPr>
        <w:pStyle w:val="Heading2"/>
      </w:pPr>
      <w:r>
        <w:t>Trans writers are invited to share how they chose their names</w:t>
      </w:r>
      <w:r/>
    </w:p>
    <w:p>
      <w:r/>
      <w:r>
        <w:t>For readers looking for a creative opportunity, Reclaim Our Names! is seeking submissions about the experience of choosing, changing or keeping a name. The project welcomes work from two-spirit, agender, trans, intersex, nonbinary and genderfluid contributors, with possible formats including essays, poems, short stories, testimonios, manifestos and accessible academic writing.</w:t>
      </w:r>
      <w:r/>
    </w:p>
    <w:p>
      <w:r/>
      <w:r>
        <w:t>The project's submission page makes clear that no previous writing experience is required. Contributors retain sole ownership of their work and can send either a pitch or a completed draft, while the editorial team offers feedback on grammar, clarity, flow and suitability. AI tools shouldn't replace the writer's own voice, a useful reminder for anyone tackling a story that is personal, intimate or difficult to summarise neatly.</w:t>
      </w:r>
      <w:r/>
    </w:p>
    <w:p>
      <w:r/>
      <w:r>
        <w:t>Reclaim Our Names! says it can't currently pay contributors, describing the project as a labour of love while it gets established. That won't suit every writer, but the invitation gives people a thoughtful space to explore names as part of identity and self-determination. Details and the submission form are available on the project's trans-names blog page.</w:t>
      </w:r>
      <w:r/>
    </w:p>
    <w:p>
      <w:pPr>
        <w:pStyle w:val="Heading2"/>
      </w:pPr>
      <w:r>
        <w:t>Four ways to take part this autumn</w:t>
      </w:r>
      <w:r/>
    </w:p>
    <w:p>
      <w:r/>
      <w:r>
        <w:t>These opportunities cover different kinds of participation. The ERG Summit is about skills and workplace connection, Liberty City's gala combines socialising with political support, the portrait project offers a direct route to charitable giving, and Reclaim Our Names! opens the door to personal storytelling.</w:t>
      </w:r>
      <w:r/>
    </w:p>
    <w:p>
      <w:r/>
      <w:r>
        <w:t>Dates and requirements vary, so it's worth checking the relevant organiser before making plans. Business leaders may want to explore sponsorship, prospective gala guests should review ticket information, donors should confirm the portrait project's current arrangements, and writers should read the submission guidance before sending work.</w:t>
      </w:r>
      <w:r/>
    </w:p>
    <w:p>
      <w:r/>
      <w:r>
        <w:t>Taken together, the calendar suggests a community investing in its future through training, public recognition, political organisation and lived experience. Sometimes progress looks like a large courtroom victory; sometimes it looks like a workshop, a fundraiser or a carefully chosen name.</w:t>
      </w:r>
      <w:r/>
    </w:p>
    <w:p>
      <w:r/>
      <w:r>
        <w:t>Find the opportunity that fits your time, interests or voice, and get involved.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[7]</w:t>
        </w:r>
      </w:hyperlink>
      <w:r>
        <w:t xml:space="preserve">- Paragraph 2: </w:t>
      </w:r>
      <w:hyperlink r:id="rId10">
        <w:r>
          <w:rPr>
            <w:color w:val="0000EE"/>
            <w:u w:val="single"/>
          </w:rPr>
          <w:t>[5]</w:t>
        </w:r>
      </w:hyperlink>
      <w:r>
        <w:t xml:space="preserve">, </w:t>
      </w:r>
      <w:hyperlink r:id="rId11">
        <w:r>
          <w:rPr>
            <w:color w:val="0000EE"/>
            <w:u w:val="single"/>
          </w:rPr>
          <w:t>[7]</w:t>
        </w:r>
      </w:hyperlink>
      <w:r>
        <w:t xml:space="preserve">- Paragraph 3: </w:t>
      </w:r>
      <w:hyperlink r:id="rId10">
        <w:r>
          <w:rPr>
            <w:color w:val="0000EE"/>
            <w:u w:val="single"/>
          </w:rPr>
          <w:t>[5]</w:t>
        </w:r>
      </w:hyperlink>
      <w:r>
        <w:t xml:space="preserve">, </w:t>
      </w:r>
      <w:hyperlink r:id="rId11">
        <w:r>
          <w:rPr>
            <w:color w:val="0000EE"/>
            <w:u w:val="single"/>
          </w:rPr>
          <w:t>[7]</w:t>
        </w:r>
      </w:hyperlink>
      <w:r>
        <w:t xml:space="preserve">- Paragraph 4: </w:t>
      </w:r>
      <w:hyperlink r:id="rId12">
        <w:r>
          <w:rPr>
            <w:color w:val="0000EE"/>
            <w:u w:val="single"/>
          </w:rPr>
          <w:t>[2]</w:t>
        </w:r>
      </w:hyperlink>
      <w:r>
        <w:t xml:space="preserve">, </w:t>
      </w:r>
      <w:hyperlink r:id="rId13">
        <w:r>
          <w:rPr>
            <w:color w:val="0000EE"/>
            <w:u w:val="single"/>
          </w:rPr>
          <w:t>[6]</w:t>
        </w:r>
      </w:hyperlink>
      <w:r>
        <w:t xml:space="preserve">- Paragraph 5: </w:t>
      </w:r>
      <w:hyperlink r:id="rId12">
        <w:r>
          <w:rPr>
            <w:color w:val="0000EE"/>
            <w:u w:val="single"/>
          </w:rPr>
          <w:t>[2]</w:t>
        </w:r>
      </w:hyperlink>
      <w:r>
        <w:t xml:space="preserve">, </w:t>
      </w:r>
      <w:hyperlink r:id="rId13">
        <w:r>
          <w:rPr>
            <w:color w:val="0000EE"/>
            <w:u w:val="single"/>
          </w:rPr>
          <w:t>[6]</w:t>
        </w:r>
      </w:hyperlink>
      <w:r>
        <w:t xml:space="preserve">- Paragraph 6: </w:t>
      </w:r>
      <w:hyperlink r:id="rId13">
        <w:r>
          <w:rPr>
            <w:color w:val="0000EE"/>
            <w:u w:val="single"/>
          </w:rPr>
          <w:t>[6]</w:t>
        </w:r>
      </w:hyperlink>
      <w:r>
        <w:t xml:space="preserve">- Paragraph 7: </w:t>
      </w:r>
      <w:hyperlink r:id="rId14">
        <w:r>
          <w:rPr>
            <w:color w:val="0000EE"/>
            <w:u w:val="single"/>
          </w:rPr>
          <w:t>[3]</w:t>
        </w:r>
      </w:hyperlink>
      <w:r>
        <w:t xml:space="preserve">- Paragraph 8: </w:t>
      </w:r>
      <w:hyperlink r:id="rId14">
        <w:r>
          <w:rPr>
            <w:color w:val="0000EE"/>
            <w:u w:val="single"/>
          </w:rPr>
          <w:t>[3]</w:t>
        </w:r>
      </w:hyperlink>
      <w:r>
        <w:t xml:space="preserve">- Paragraph 9: </w:t>
      </w:r>
      <w:hyperlink r:id="rId14">
        <w:r>
          <w:rPr>
            <w:color w:val="0000EE"/>
            <w:u w:val="single"/>
          </w:rPr>
          <w:t>[3]</w:t>
        </w:r>
      </w:hyperlink>
      <w:r>
        <w:t xml:space="preserve">- Paragraph 10: </w:t>
      </w:r>
      <w:hyperlink r:id="rId15">
        <w:r>
          <w:rPr>
            <w:color w:val="0000EE"/>
            <w:u w:val="single"/>
          </w:rPr>
          <w:t>[4]</w:t>
        </w:r>
      </w:hyperlink>
      <w:r>
        <w:t xml:space="preserve">- Paragraph 11: </w:t>
      </w:r>
      <w:hyperlink r:id="rId15">
        <w:r>
          <w:rPr>
            <w:color w:val="0000EE"/>
            <w:u w:val="single"/>
          </w:rPr>
          <w:t>[4]</w:t>
        </w:r>
      </w:hyperlink>
      <w:r>
        <w:t xml:space="preserve">- Paragraph 12: </w:t>
      </w:r>
      <w:hyperlink r:id="rId15">
        <w:r>
          <w:rPr>
            <w:color w:val="0000EE"/>
            <w:u w:val="single"/>
          </w:rPr>
          <w:t>[4]</w:t>
        </w:r>
      </w:hyperlink>
      <w:r>
        <w:t xml:space="preserve">- Paragraph 13: </w:t>
      </w:r>
      <w:hyperlink r:id="rId10">
        <w:r>
          <w:rPr>
            <w:color w:val="0000EE"/>
            <w:u w:val="single"/>
          </w:rPr>
          <w:t>[5]</w:t>
        </w:r>
      </w:hyperlink>
      <w:r>
        <w:t xml:space="preserve">, </w:t>
      </w:r>
      <w:hyperlink r:id="rId13">
        <w:r>
          <w:rPr>
            <w:color w:val="0000EE"/>
            <w:u w:val="single"/>
          </w:rPr>
          <w:t>[6]</w:t>
        </w:r>
      </w:hyperlink>
      <w:r>
        <w:t xml:space="preserve">, </w:t>
      </w:r>
      <w:hyperlink r:id="rId15">
        <w:r>
          <w:rPr>
            <w:color w:val="0000EE"/>
            <w:u w:val="single"/>
          </w:rPr>
          <w:t>[4]</w:t>
        </w:r>
      </w:hyperlink>
      <w:r>
        <w:t xml:space="preserve">- Paragraph 14: </w:t>
      </w:r>
      <w:hyperlink r:id="rId10">
        <w:r>
          <w:rPr>
            <w:color w:val="0000EE"/>
            <w:u w:val="single"/>
          </w:rPr>
          <w:t>[5]</w:t>
        </w:r>
      </w:hyperlink>
      <w:r>
        <w:t xml:space="preserve">, </w:t>
      </w:r>
      <w:hyperlink r:id="rId13">
        <w:r>
          <w:rPr>
            <w:color w:val="0000EE"/>
            <w:u w:val="single"/>
          </w:rPr>
          <w:t>[6]</w:t>
        </w:r>
      </w:hyperlink>
      <w:r>
        <w:t xml:space="preserve">, </w:t>
      </w:r>
      <w:hyperlink r:id="rId14">
        <w:r>
          <w:rPr>
            <w:color w:val="0000EE"/>
            <w:u w:val="single"/>
          </w:rPr>
          <w:t>[3]</w:t>
        </w:r>
      </w:hyperlink>
      <w:r>
        <w:t xml:space="preserve">, </w:t>
      </w:r>
      <w:hyperlink r:id="rId15">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https://epgn.com/2026/09/08/community-brief-erg-summit-obergefell-to-speak-fundraising-and-writing-opportunities/</w:t>
        </w:r>
      </w:hyperlink>
      <w:r>
        <w:t xml:space="preserve"> - Please view link - unable to able to access data</w:t>
      </w:r>
      <w:r/>
    </w:p>
    <w:p>
      <w:pPr>
        <w:pStyle w:val="ListNumber"/>
        <w:spacing w:line="240" w:lineRule="auto"/>
        <w:ind w:left="720"/>
      </w:pPr>
      <w:r/>
      <w:hyperlink r:id="rId12">
        <w:r>
          <w:rPr>
            <w:color w:val="0000EE"/>
            <w:u w:val="single"/>
          </w:rPr>
          <w:t>https://www.obergefell.com/</w:t>
        </w:r>
      </w:hyperlink>
      <w:r>
        <w:t xml:space="preserve"> - Jim Obergefell, the plaintiff in the landmark U.S. Supreme Court case Obergefell v. Hodges, which secured marriage equality nationwide, is a prominent LGBTQ+ activist. He has co-authored the book 'Love Wins' and co-founded Equality Vines, a cause-based wine label supporting civil rights and equality. Obergefell is also a speaker represented by Keppler Speakers and serves on various boards, including Family Equality and the Mattachine Society of Washington, DC. His website provides information about his activism, media appearances, and speaking engagements.</w:t>
      </w:r>
      <w:r/>
    </w:p>
    <w:p>
      <w:pPr>
        <w:pStyle w:val="ListNumber"/>
        <w:spacing w:line="240" w:lineRule="auto"/>
        <w:ind w:left="720"/>
      </w:pPr>
      <w:r/>
      <w:hyperlink r:id="rId14">
        <w:r>
          <w:rPr>
            <w:color w:val="0000EE"/>
            <w:u w:val="single"/>
          </w:rPr>
          <w:t>https://www.philalgbtqbar.org/</w:t>
        </w:r>
      </w:hyperlink>
      <w:r>
        <w:t xml:space="preserve"> - The Philadelphia LGBTQ Bar Association is a 501(c)(3) organisation dedicated to supporting LGBTQ+ legal professionals and advocating for civil rights. They are honouring Judge Abbe Fletman, a founding member who retired from the Court of Common Pleas, through the Judicial Portrait Project. The association is seeking funding for this project, with donations being tax-deductible. More information about the association and donation opportunities can be found on their website.</w:t>
      </w:r>
      <w:r/>
    </w:p>
    <w:p>
      <w:pPr>
        <w:pStyle w:val="ListNumber"/>
        <w:spacing w:line="240" w:lineRule="auto"/>
        <w:ind w:left="720"/>
      </w:pPr>
      <w:r/>
      <w:hyperlink r:id="rId15">
        <w:r>
          <w:rPr>
            <w:color w:val="0000EE"/>
            <w:u w:val="single"/>
          </w:rPr>
          <w:t>https://www.reclaimournames.com/transnames</w:t>
        </w:r>
      </w:hyperlink>
      <w:r>
        <w:t xml:space="preserve"> - Reclaim Our Names! is an intersectional trans storytelling project that invites two-spirit, agender, trans, intersex, nonbinary, and genderfluid individuals to share their stories about naming decisions. The project seeks submissions in various forms, including essays, poems, and short stories, to uplift names as a site for trans self-exploration and self-determination. Contributors can submit pitches or full drafts via a Google form on the publication’s website. The project is starting as a labour of love and does not currently offer compensation to contributors.</w:t>
      </w:r>
      <w:r/>
    </w:p>
    <w:p>
      <w:pPr>
        <w:pStyle w:val="ListNumber"/>
        <w:spacing w:line="240" w:lineRule="auto"/>
        <w:ind w:left="720"/>
      </w:pPr>
      <w:r/>
      <w:hyperlink r:id="rId10">
        <w:r>
          <w:rPr>
            <w:color w:val="0000EE"/>
            <w:u w:val="single"/>
          </w:rPr>
          <w:t>https://www.thinkiba.com/</w:t>
        </w:r>
      </w:hyperlink>
      <w:r>
        <w:t xml:space="preserve"> - The Independence Business Alliance (IBA) is Philadelphia’s local LGBTQ+ chamber of commerce. They are hosting their third annual ERG Summit on September 17, 2026, at Quorum at the University City Science Center. The summit aims to provide ERG leaders, business leaders, and community members with opportunities to engage in networking and interactive workshops related to employee resource groups. The event focuses on developing skills for leading ERGs, with expert speakers leading sessions on meeting facilitation, event planning, and public speaking.</w:t>
      </w:r>
      <w:r/>
    </w:p>
    <w:p>
      <w:pPr>
        <w:pStyle w:val="ListNumber"/>
        <w:spacing w:line="240" w:lineRule="auto"/>
        <w:ind w:left="720"/>
      </w:pPr>
      <w:r/>
      <w:hyperlink r:id="rId13">
        <w:r>
          <w:rPr>
            <w:color w:val="0000EE"/>
            <w:u w:val="single"/>
          </w:rPr>
          <w:t>https://www.libertycity.org/gala</w:t>
        </w:r>
      </w:hyperlink>
      <w:r>
        <w:t xml:space="preserve"> - The Liberty City LGBTQ+ Democratic Club is hosting its inaugural gala on September 24, 2026, at IATSE Local 8 Ballroom in Philadelphia. The event will feature a cocktail reception, performances, a buffet dinner, a silent auction, and an awards ceremony. Civil rights activist Jim Obergefell will deliver the keynote address. Proceeds from the gala will support the club's efforts to strengthen its ability to support LGBTQ+ candidates and allies, organize voters, advocate for civil rights, build coalitions, and develop the next generation of LGBTQ+ political leadership.</w:t>
      </w:r>
      <w:r/>
    </w:p>
    <w:p>
      <w:pPr>
        <w:pStyle w:val="ListNumber"/>
        <w:spacing w:line="240" w:lineRule="auto"/>
        <w:ind w:left="720"/>
      </w:pPr>
      <w:r/>
      <w:hyperlink r:id="rId11">
        <w:r>
          <w:rPr>
            <w:color w:val="0000EE"/>
            <w:u w:val="single"/>
          </w:rPr>
          <w:t>https://www.thinkiba.com/calendar</w:t>
        </w:r>
      </w:hyperlink>
      <w:r>
        <w:t xml:space="preserve"> - The Independence Business Alliance (IBA) maintains a calendar of events, including the upcoming ERG Summit 2026 on September 17, 2026. The calendar provides details on various events, workshops, and networking opportunities for the LGBTQ+ and allied community in Philadelphia. The IBA serves as a resource for business leaders and community members to engage in professional development and community-building activities.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gn.com/2026/09/08/community-brief-erg-summit-obergefell-to-speak-fundraising-and-writing-opportunities/" TargetMode="External"/><Relationship Id="rId10" Type="http://schemas.openxmlformats.org/officeDocument/2006/relationships/hyperlink" Target="https://www.thinkiba.com/" TargetMode="External"/><Relationship Id="rId11" Type="http://schemas.openxmlformats.org/officeDocument/2006/relationships/hyperlink" Target="https://www.thinkiba.com/calendar" TargetMode="External"/><Relationship Id="rId12" Type="http://schemas.openxmlformats.org/officeDocument/2006/relationships/hyperlink" Target="https://www.obergefell.com/" TargetMode="External"/><Relationship Id="rId13" Type="http://schemas.openxmlformats.org/officeDocument/2006/relationships/hyperlink" Target="https://www.libertycity.org/gala" TargetMode="External"/><Relationship Id="rId14" Type="http://schemas.openxmlformats.org/officeDocument/2006/relationships/hyperlink" Target="https://www.philalgbtqbar.org/" TargetMode="External"/><Relationship Id="rId15" Type="http://schemas.openxmlformats.org/officeDocument/2006/relationships/hyperlink" Target="https://www.reclaimournames.com/transnam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