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schools make progress on LGBTQ+ support, but gaps remain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California’s latest Safe and Supportive Schools Report Card finds broad acceptance of LGBTQ+-inclusive teaching, student clubs and gender-neutral policies, yet uneven protection for privacy, bullying complaints and student wellbeing. The findings matter across public schools serving roughly half a million LGBTQ+ pupils, offering families and educators a practical snapshot of where support is strongest and where it still needs work.</w:t>
      </w:r>
      <w:r/>
    </w:p>
    <w:p>
      <w:pPr>
        <w:pStyle w:val="Heading2"/>
      </w:pPr>
      <w:r>
        <w:t>Essential Takeaways</w:t>
      </w:r>
      <w:r/>
      <w:r/>
    </w:p>
    <w:p>
      <w:pPr>
        <w:pStyle w:val="ListBullet"/>
        <w:spacing w:line="240" w:lineRule="auto"/>
        <w:ind w:left="720"/>
      </w:pPr>
      <w:r/>
      <w:r>
        <w:rPr>
          <w:b/>
        </w:rPr>
        <w:t>Inclusive teaching is widespread:</w:t>
      </w:r>
      <w:r>
        <w:t xml:space="preserve"> 93% of surveyed districts include same-sex relationships and diverse body types in sexual health lessons.</w:t>
      </w:r>
      <w:r/>
    </w:p>
    <w:p>
      <w:pPr>
        <w:pStyle w:val="ListBullet"/>
        <w:spacing w:line="240" w:lineRule="auto"/>
        <w:ind w:left="720"/>
      </w:pPr>
      <w:r/>
      <w:r>
        <w:rPr>
          <w:b/>
        </w:rPr>
        <w:t>Student clubs are common:</w:t>
      </w:r>
      <w:r>
        <w:t xml:space="preserve"> 96% allow Gender and Sexuality Alliances or similar groups.</w:t>
      </w:r>
      <w:r/>
    </w:p>
    <w:p>
      <w:pPr>
        <w:pStyle w:val="ListBullet"/>
        <w:spacing w:line="240" w:lineRule="auto"/>
        <w:ind w:left="720"/>
      </w:pPr>
      <w:r/>
      <w:r>
        <w:rPr>
          <w:b/>
        </w:rPr>
        <w:t>Privacy remains a weak spot:</w:t>
      </w:r>
      <w:r>
        <w:t xml:space="preserve"> Only 49% have all three recommended protections for transgender pupils.</w:t>
      </w:r>
      <w:r/>
    </w:p>
    <w:p>
      <w:pPr>
        <w:pStyle w:val="ListBullet"/>
        <w:spacing w:line="240" w:lineRule="auto"/>
        <w:ind w:left="720"/>
      </w:pPr>
      <w:r/>
      <w:r>
        <w:rPr>
          <w:b/>
        </w:rPr>
        <w:t>Bullying policies vary:</w:t>
      </w:r>
      <w:r>
        <w:t xml:space="preserve"> 84% track relevant complaints, but just 53% include all nine recommended protections.</w:t>
      </w:r>
      <w:r/>
    </w:p>
    <w:p>
      <w:pPr>
        <w:pStyle w:val="ListBullet"/>
        <w:spacing w:line="240" w:lineRule="auto"/>
        <w:ind w:left="720"/>
      </w:pPr>
      <w:r/>
      <w:r>
        <w:rPr>
          <w:b/>
        </w:rPr>
        <w:t>Suicide prevention is improving:</w:t>
      </w:r>
      <w:r>
        <w:t xml:space="preserve"> 81% meet the four required policy components, while 72% have provisions specifically addressing LGBTQ+ young people.</w:t>
      </w:r>
      <w:r/>
      <w:r/>
    </w:p>
    <w:p>
      <w:pPr>
        <w:pStyle w:val="Heading2"/>
      </w:pPr>
      <w:r>
        <w:t>California schools are more inclusive in the classroom</w:t>
      </w:r>
      <w:r/>
    </w:p>
    <w:p>
      <w:r/>
      <w:r>
        <w:t>The clearest bright spot is curriculum. Almost every participating district said its sexual health teaching covers same-sex relationships and a range of body types, suggesting that inclusive content is no longer confined to a small group of pioneering schools.</w:t>
      </w:r>
      <w:r/>
    </w:p>
    <w:p>
      <w:r/>
      <w:r>
        <w:t xml:space="preserve">That shift matters because the classroom can be a surprisingly powerful signal. A lesson that reflects students' lives, families and communities says they belong there, rather than asking them to remain invisible. The report also found that 53% of districts had FAIR Education Act-aligned materials across primary, middle and secondary levels, leaving plenty of room for wider adoption. The Equality California Institute's publication archive shows how this work has developed through successive reports and policy resources. </w:t>
      </w:r>
      <w:hyperlink r:id="rId9">
        <w:r>
          <w:rPr>
            <w:color w:val="0000EE"/>
            <w:u w:val="single"/>
          </w:rPr>
          <w:t>[2]</w:t>
        </w:r>
      </w:hyperlink>
      <w:r>
        <w:t xml:space="preserve">, </w:t>
      </w:r>
      <w:hyperlink r:id="rId10">
        <w:r>
          <w:rPr>
            <w:color w:val="0000EE"/>
            <w:u w:val="single"/>
          </w:rPr>
          <w:t>[3]</w:t>
        </w:r>
      </w:hyperlink>
      <w:r/>
    </w:p>
    <w:p>
      <w:pPr>
        <w:pStyle w:val="Heading2"/>
      </w:pPr>
      <w:r>
        <w:t>Support exists, but protection isn't always complete</w:t>
      </w:r>
      <w:r/>
    </w:p>
    <w:p>
      <w:r/>
      <w:r>
        <w:t>Student-led support is another strong feature. Some 96% of districts allow Gender and Sexuality Alliances or similar affinity clubs, while 88% apply gender-neutral dress codes to all pupils. Those policies can make everyday school life feel less like a test of whether a student fits a narrow mould.</w:t>
      </w:r>
      <w:r/>
    </w:p>
    <w:p>
      <w:r/>
      <w:r>
        <w:t xml:space="preserve">Still, practical access isn't universal. Only 78% reported having at least one easily accessible all-gender or non-gendered toilet, and 65% recognise events such as Pride Month. Those figures don't necessarily measure the quality of each provision, but they do show how differently school communities may experience inclusion from one district to the next. Earlier Equality California materials provide useful context on the organisation's broader education and civil rights work. </w:t>
      </w:r>
      <w:hyperlink r:id="rId11">
        <w:r>
          <w:rPr>
            <w:color w:val="0000EE"/>
            <w:u w:val="single"/>
          </w:rPr>
          <w:t>[4]</w:t>
        </w:r>
      </w:hyperlink>
      <w:r>
        <w:t xml:space="preserve">, </w:t>
      </w:r>
      <w:hyperlink r:id="rId12">
        <w:r>
          <w:rPr>
            <w:color w:val="0000EE"/>
            <w:u w:val="single"/>
          </w:rPr>
          <w:t>[6]</w:t>
        </w:r>
      </w:hyperlink>
      <w:r/>
    </w:p>
    <w:p>
      <w:pPr>
        <w:pStyle w:val="Heading2"/>
      </w:pPr>
      <w:r>
        <w:t>Bullying records don't tell the whole story</w:t>
      </w:r>
      <w:r/>
    </w:p>
    <w:p>
      <w:r/>
      <w:r>
        <w:t>Tracking complaints is an important first step, but it doesn't guarantee that a student will receive a clear, safe resolution. Although 84% of districts require schools to record alleged anti-bullying or hate-motivated policy breaches, only 53% include all nine recommended protections.</w:t>
      </w:r>
      <w:r/>
    </w:p>
    <w:p>
      <w:r/>
      <w:r>
        <w:t xml:space="preserve">The missing pieces are particularly practical. They include the ability to transfer schools, clear resources for pupils who have been targeted and confidential systems for recording complaints. In other words, a policy may exist on paper while the route to help remains uncertain. Previous Safe and Supportive Schools reporting also points to the value of examining implementation, not simply counting whether a policy has been adopted. </w:t>
      </w:r>
      <w:hyperlink r:id="rId13">
        <w:r>
          <w:rPr>
            <w:color w:val="0000EE"/>
            <w:u w:val="single"/>
          </w:rPr>
          <w:t>[5]</w:t>
        </w:r>
      </w:hyperlink>
      <w:r>
        <w:t xml:space="preserve">, </w:t>
      </w:r>
      <w:hyperlink r:id="rId14">
        <w:r>
          <w:rPr>
            <w:color w:val="0000EE"/>
            <w:u w:val="single"/>
          </w:rPr>
          <w:t>[7]</w:t>
        </w:r>
      </w:hyperlink>
      <w:r/>
    </w:p>
    <w:p>
      <w:pPr>
        <w:pStyle w:val="Heading2"/>
      </w:pPr>
      <w:r>
        <w:t>Transgender pupil privacy remains a major test</w:t>
      </w:r>
      <w:r/>
    </w:p>
    <w:p>
      <w:r/>
      <w:r>
        <w:t>Privacy is one of the report's most striking gaps. Just 49% of districts have all three recommended safeguards for transgender pupils, covering official records, internal records and the separation of birth-name information. Eight per cent reported having none of those protections.</w:t>
      </w:r>
      <w:r/>
    </w:p>
    <w:p>
      <w:r/>
      <w:r>
        <w:t xml:space="preserve">For families, this isn't an abstract administrative issue. A name appearing in the wrong place, or information being shared without care, can expose a young person to embarrassment, distress or unwanted attention. Schools reviewing their systems should check who can access records, how changes are handled and whether staff know the difference between a legal document and a student's everyday identity. The organisation's earlier reports underline why these details deserve regular review rather than a one-off policy announcement. </w:t>
      </w:r>
      <w:hyperlink r:id="rId13">
        <w:r>
          <w:rPr>
            <w:color w:val="0000EE"/>
            <w:u w:val="single"/>
          </w:rPr>
          <w:t>[5]</w:t>
        </w:r>
      </w:hyperlink>
      <w:r>
        <w:t xml:space="preserve">, </w:t>
      </w:r>
      <w:hyperlink r:id="rId14">
        <w:r>
          <w:rPr>
            <w:color w:val="0000EE"/>
            <w:u w:val="single"/>
          </w:rPr>
          <w:t>[7]</w:t>
        </w:r>
      </w:hyperlink>
      <w:r/>
    </w:p>
    <w:p>
      <w:pPr>
        <w:pStyle w:val="Heading2"/>
      </w:pPr>
      <w:r>
        <w:t>Wellbeing policies need LGBTQ+ specific support</w:t>
      </w:r>
      <w:r/>
    </w:p>
    <w:p>
      <w:r/>
      <w:r>
        <w:t>The survey found that 81% of districts have suicide prevention policies containing prevention, intervention, postvention and parent-notification procedures. That's encouraging, but a general framework may not address the particular pressures LGBTQ+ pupils face.</w:t>
      </w:r>
      <w:r/>
    </w:p>
    <w:p>
      <w:r/>
      <w:r>
        <w:t xml:space="preserve">Only 72% said their policy specifically addresses LGBTQ+ young people. That distinction matters because supportive staff, affirming language and trusted routes to help can shape whether a pupil asks for support at all. Research cited in the report links hostile school climates with poorer mental health, attendance and academic outcomes, while inclusive environments are associated with better results. Education leaders now have a useful question to answer: not merely whether a policy exists, but whether a student would know where to turn on a difficult day. </w:t>
      </w:r>
      <w:hyperlink r:id="rId9">
        <w:r>
          <w:rPr>
            <w:color w:val="0000EE"/>
            <w:u w:val="single"/>
          </w:rPr>
          <w:t>[2]</w:t>
        </w:r>
      </w:hyperlink>
      <w:r>
        <w:t xml:space="preserve">, </w:t>
      </w:r>
      <w:hyperlink r:id="rId10">
        <w:r>
          <w:rPr>
            <w:color w:val="0000EE"/>
            <w:u w:val="single"/>
          </w:rPr>
          <w:t>[3]</w:t>
        </w:r>
      </w:hyperlink>
      <w:r/>
    </w:p>
    <w:p>
      <w:r/>
      <w:r>
        <w:t xml:space="preserve">The report includes 18 recommendations aimed at closing gaps in policy, compliance and staff support. Progress is visible, but the next stage will depend on making protections consistent enough that a pupil's postcode doesn't determine how safe school feels. </w:t>
      </w:r>
      <w:hyperlink r:id="rId9">
        <w:r>
          <w:rPr>
            <w:color w:val="0000EE"/>
            <w:u w:val="single"/>
          </w:rPr>
          <w:t>[2]</w:t>
        </w:r>
      </w:hyperlink>
      <w:r>
        <w:t xml:space="preserve">, </w:t>
      </w:r>
      <w:hyperlink r:id="rId14">
        <w:r>
          <w:rPr>
            <w:color w:val="0000EE"/>
            <w:u w:val="single"/>
          </w:rPr>
          <w:t>[7]</w:t>
        </w:r>
      </w:hyperlink>
      <w:r/>
    </w:p>
    <w:p>
      <w:r/>
      <w:r>
        <w:rPr>
          <w:b/>
        </w:rPr>
        <w:t>California's schools are moving towards inclusion, but dependable protection is what will make the difference.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https://blog.csba.org/equalityca-report26/</w:t>
        </w:r>
      </w:hyperlink>
      <w:r>
        <w:t xml:space="preserve"> - Please view link - unable to able to access data</w:t>
      </w:r>
      <w:r/>
    </w:p>
    <w:p>
      <w:pPr>
        <w:pStyle w:val="ListNumber"/>
        <w:spacing w:line="240" w:lineRule="auto"/>
        <w:ind w:left="720"/>
      </w:pPr>
      <w:r/>
      <w:hyperlink r:id="rId9">
        <w:r>
          <w:rPr>
            <w:color w:val="0000EE"/>
            <w:u w:val="single"/>
          </w:rPr>
          <w:t>https://schools.eqca.org/report-card/</w:t>
        </w:r>
      </w:hyperlink>
      <w:r>
        <w:t xml:space="preserve"> - The Safe and Supportive Schools Report Card by Equality California Institute evaluates the implementation of LGBTQ+ inclusive programs and policies across California's unified school districts. The 2026 report, based on survey responses from 109 districts, highlights both successes and challenges in creating safe environments for LGBTQ+ students. It serves as a valuable tool for educators, policymakers, and advocates to assess progress and identify areas needing improvement in fostering supportive learning environments for all students.</w:t>
      </w:r>
      <w:r/>
    </w:p>
    <w:p>
      <w:pPr>
        <w:pStyle w:val="ListNumber"/>
        <w:spacing w:line="240" w:lineRule="auto"/>
        <w:ind w:left="720"/>
      </w:pPr>
      <w:r/>
      <w:hyperlink r:id="rId10">
        <w:r>
          <w:rPr>
            <w:color w:val="0000EE"/>
            <w:u w:val="single"/>
          </w:rPr>
          <w:t>https://www.eqca.org/publications/</w:t>
        </w:r>
      </w:hyperlink>
      <w:r>
        <w:t xml:space="preserve"> - Equality California's publications page offers a comprehensive collection of reports, scorecards, and annual reports detailing the organization's efforts and progress in advancing LGBTQ+ rights and protections. These publications provide insights into legislative actions, policy developments, and the impact of various initiatives aimed at promoting equality and inclusivity for LGBTQ+ individuals across California.</w:t>
      </w:r>
      <w:r/>
    </w:p>
    <w:p>
      <w:pPr>
        <w:pStyle w:val="ListNumber"/>
        <w:spacing w:line="240" w:lineRule="auto"/>
        <w:ind w:left="720"/>
      </w:pPr>
      <w:r/>
      <w:hyperlink r:id="rId11">
        <w:r>
          <w:rPr>
            <w:color w:val="0000EE"/>
            <w:u w:val="single"/>
          </w:rPr>
          <w:t>https://www.eqca.org/naleo-pres-2/</w:t>
        </w:r>
      </w:hyperlink>
      <w:r>
        <w:t xml:space="preserve"> - This press release announces the publication of the 2024 Safe and Supportive Schools Report Card by Equality California Institute. The report evaluates LGBTQ+ policies and programs from 146 participating school districts, revealing both advancements and persistent challenges in creating safe, inclusive environments for LGBTQ+ students, staff, and faculty. It serves as a critical tool for educators, policymakers, and advocates to address gaps and enhance support systems for LGBTQ+ students.</w:t>
      </w:r>
      <w:r/>
    </w:p>
    <w:p>
      <w:pPr>
        <w:pStyle w:val="ListNumber"/>
        <w:spacing w:line="240" w:lineRule="auto"/>
        <w:ind w:left="720"/>
      </w:pPr>
      <w:r/>
      <w:hyperlink r:id="rId13">
        <w:r>
          <w:rPr>
            <w:color w:val="0000EE"/>
            <w:u w:val="single"/>
          </w:rPr>
          <w:t>https://www.eqca.org/wp-content/uploads/2019/05/2019-EQCAI-Safe-Supportive-Schools-Report-Card.pdf</w:t>
        </w:r>
      </w:hyperlink>
      <w:r>
        <w:t xml:space="preserve"> - The 2019 Safe and Supportive Schools Report Card by Equality California Institute assesses the implementation of LGBTQ+ inclusive programs and policies across California's unified school districts. The report highlights successes and challenges in creating supportive learning environments for LGBTQ+ students and staff, serving as a critical advocacy tool for students, parents, teachers, and community members to hold schools accountable and continue making progress.</w:t>
      </w:r>
      <w:r/>
    </w:p>
    <w:p>
      <w:pPr>
        <w:pStyle w:val="ListNumber"/>
        <w:spacing w:line="240" w:lineRule="auto"/>
        <w:ind w:left="720"/>
      </w:pPr>
      <w:r/>
      <w:hyperlink r:id="rId12">
        <w:r>
          <w:rPr>
            <w:color w:val="0000EE"/>
            <w:u w:val="single"/>
          </w:rPr>
          <w:t>https://www.eqca.org/wp-content/uploads/EQCA20_AnnualReport_v9_Final.pdf</w:t>
        </w:r>
      </w:hyperlink>
      <w:r>
        <w:t xml:space="preserve"> - Equality California's 2020 Annual Report provides an overview of the organization's initiatives, achievements, and financials. It highlights efforts in advancing LGBTQ+ rights, including the launch of the Safe and Supportive Schools Report Card, which assesses the implementation of LGBTQ+ inclusive programs and policies across California's unified school districts. The report underscores the organization's commitment to fostering safe and supportive environments for LGBTQ+ students and staff.</w:t>
      </w:r>
      <w:r/>
    </w:p>
    <w:p>
      <w:pPr>
        <w:pStyle w:val="ListNumber"/>
        <w:spacing w:line="240" w:lineRule="auto"/>
        <w:ind w:left="720"/>
      </w:pPr>
      <w:r/>
      <w:hyperlink r:id="rId14">
        <w:r>
          <w:rPr>
            <w:color w:val="0000EE"/>
            <w:u w:val="single"/>
          </w:rPr>
          <w:t>https://www.eqca.org/wp-content/uploads/EQCA22_SSSR_Report_layout_v6lr_SINGLES.pdf</w:t>
        </w:r>
      </w:hyperlink>
      <w:r>
        <w:t xml:space="preserve"> - The 2022 Safe and Supportive Schools Report by Equality California Institute examines the state of LGBTQ+ inclusivity in California schools. It highlights the disparities in health and well-being faced by LGBTQ+ students and emphasizes the need for schools to provide safe and supportive environments. The report serves as a resource for educators, policymakers, and advocates to assess and improve the implementation of LGBTQ+ inclusive programs and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chools.eqca.org/report-card/" TargetMode="External"/><Relationship Id="rId10" Type="http://schemas.openxmlformats.org/officeDocument/2006/relationships/hyperlink" Target="https://www.eqca.org/publications/" TargetMode="External"/><Relationship Id="rId11" Type="http://schemas.openxmlformats.org/officeDocument/2006/relationships/hyperlink" Target="https://www.eqca.org/naleo-pres-2/" TargetMode="External"/><Relationship Id="rId12" Type="http://schemas.openxmlformats.org/officeDocument/2006/relationships/hyperlink" Target="https://www.eqca.org/wp-content/uploads/EQCA20_AnnualReport_v9_Final.pdf" TargetMode="External"/><Relationship Id="rId13" Type="http://schemas.openxmlformats.org/officeDocument/2006/relationships/hyperlink" Target="https://www.eqca.org/wp-content/uploads/2019/05/2019-EQCAI-Safe-Supportive-Schools-Report-Card.pdf" TargetMode="External"/><Relationship Id="rId14" Type="http://schemas.openxmlformats.org/officeDocument/2006/relationships/hyperlink" Target="https://www.eqca.org/wp-content/uploads/EQCA22_SSSR_Report_layout_v6lr_SINGLES.pdf" TargetMode="External"/><Relationship Id="rId15" Type="http://schemas.openxmlformats.org/officeDocument/2006/relationships/hyperlink" Target="https://blog.csba.org/equalityca-report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