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New Queer YA Novel in Verse for Belonging and Self-Discovery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 xml:space="preserve">Readers are meeting Surya, a Tamil queer teenager navigating school, family, friendship and first love in </w:t>
      </w:r>
      <w:r>
        <w:rPr>
          <w:b/>
          <w:i/>
        </w:rPr>
        <w:t>Bad Queer</w:t>
      </w:r>
      <w:r>
        <w:rPr>
          <w:b/>
        </w:rPr>
        <w:t>, a young adult novel in verse from Gayathiri Kamalakanthan and illustrator Chi Nwosu. Published in the UK by Faber, the book matters because it offers young readers something both tender and practical: a story about identity, confidence, consent and finding spaces where you can breathe.</w:t>
      </w:r>
      <w:r/>
    </w:p>
    <w:p>
      <w:pPr>
        <w:pStyle w:val="Heading2"/>
      </w:pPr>
      <w:r>
        <w:t>Essential Takeaways</w:t>
      </w:r>
      <w:r/>
      <w:r/>
    </w:p>
    <w:p>
      <w:pPr>
        <w:pStyle w:val="ListBullet"/>
        <w:spacing w:line="240" w:lineRule="auto"/>
        <w:ind w:left="720"/>
      </w:pPr>
      <w:r/>
      <w:r>
        <w:rPr>
          <w:b/>
        </w:rPr>
        <w:t>A distinctive format:</w:t>
      </w:r>
      <w:r>
        <w:t xml:space="preserve"> Poetry and expressive line drawings work together to tell Surya's story.</w:t>
      </w:r>
      <w:r/>
    </w:p>
    <w:p>
      <w:pPr>
        <w:pStyle w:val="ListBullet"/>
        <w:spacing w:line="240" w:lineRule="auto"/>
        <w:ind w:left="720"/>
      </w:pPr>
      <w:r/>
      <w:r>
        <w:rPr>
          <w:b/>
        </w:rPr>
        <w:t>A richly specific identity:</w:t>
      </w:r>
      <w:r>
        <w:t xml:space="preserve"> The novel explores queer and non-binary life alongside Tamil heritage.</w:t>
      </w:r>
      <w:r/>
    </w:p>
    <w:p>
      <w:pPr>
        <w:pStyle w:val="ListBullet"/>
        <w:spacing w:line="240" w:lineRule="auto"/>
        <w:ind w:left="720"/>
      </w:pPr>
      <w:r/>
      <w:r>
        <w:rPr>
          <w:b/>
        </w:rPr>
        <w:t>A hopeful setting:</w:t>
      </w:r>
      <w:r>
        <w:t xml:space="preserve"> Youth theatre becomes a warm, creative refuge from everyday prejudice.</w:t>
      </w:r>
      <w:r/>
    </w:p>
    <w:p>
      <w:pPr>
        <w:pStyle w:val="ListBullet"/>
        <w:spacing w:line="240" w:lineRule="auto"/>
        <w:ind w:left="720"/>
      </w:pPr>
      <w:r/>
      <w:r>
        <w:rPr>
          <w:b/>
        </w:rPr>
        <w:t>A thoughtful romance:</w:t>
      </w:r>
      <w:r>
        <w:t xml:space="preserve"> Surya and Blessing learn to discuss identity, boundaries and consent.</w:t>
      </w:r>
      <w:r/>
    </w:p>
    <w:p>
      <w:pPr>
        <w:pStyle w:val="ListBullet"/>
        <w:spacing w:line="240" w:lineRule="auto"/>
        <w:ind w:left="720"/>
      </w:pPr>
      <w:r/>
      <w:r>
        <w:rPr>
          <w:b/>
        </w:rPr>
        <w:t>A gentler family story:</w:t>
      </w:r>
      <w:r>
        <w:t xml:space="preserve"> Surya's parents are supportive without being presented as perfect.</w:t>
      </w:r>
      <w:r/>
      <w:r/>
    </w:p>
    <w:p>
      <w:pPr>
        <w:pStyle w:val="Heading2"/>
      </w:pPr>
      <w:r>
        <w:t>A novel that gives uncertainty room to breathe</w:t>
      </w:r>
      <w:r/>
    </w:p>
    <w:p>
      <w:r/>
      <w:r>
        <w:t xml:space="preserve">Surya's story begins with a feeling many teenagers will recognise, even if they don't share the same identity: the fear of responding incorrectly. When people misgender or mock them, silence can feel safer than confrontation. That tension gives </w:t>
      </w:r>
      <w:r>
        <w:rPr>
          <w:i/>
        </w:rPr>
        <w:t>Bad Queer</w:t>
      </w:r>
      <w:r>
        <w:t xml:space="preserve"> its emotional charge, because Surya isn't presented as instantly confident or perfectly articulate.</w:t>
      </w:r>
      <w:r/>
    </w:p>
    <w:p>
      <w:r/>
      <w:r>
        <w:t>The book, listed by Faber as a young adult title, uses verse to make those private moments feel close and immediate. Short lines can hold a thought, a pause or a sudden rush of feeling without smoothing everything into conventional prose. Reviews from Kirkus and Publishers Weekly also point to the novel's distinctive approach to queer adolescence and self-definition.</w:t>
      </w:r>
      <w:r/>
    </w:p>
    <w:p>
      <w:r/>
      <w:r>
        <w:t>There is something refreshingly unpolished about Surya's journey. They want sharper words, a first romance and a clearer sense of self, but life doesn't deliver those things on a tidy timetable. That makes the book feel less like a lesson and more like a companion.</w:t>
      </w:r>
      <w:r/>
    </w:p>
    <w:p>
      <w:pPr>
        <w:pStyle w:val="Heading2"/>
      </w:pPr>
      <w:r>
        <w:t>Poetry and illustration create a fuller picture</w:t>
      </w:r>
      <w:r/>
    </w:p>
    <w:p>
      <w:r/>
      <w:r>
        <w:t>Nwosu's drawings don't simply decorate the text. They extend its emotional language, moving from everyday details to more abstract images that suggest anxiety, isolation or release. The result is a book that asks readers to interpret both the words and the spaces around them.</w:t>
      </w:r>
      <w:r/>
    </w:p>
    <w:p>
      <w:r/>
      <w:r>
        <w:t>That combination is central to the appeal of this novel in verse. A line drawing can make an ordinary object feel charged, while a cluster of marks or shapes can show what Surya can't yet explain. Jhalak Review's discussion of queer verse novels highlights the value of such forms in creating intimate, protective spaces for readers.</w:t>
      </w:r>
      <w:r/>
    </w:p>
    <w:p>
      <w:r/>
      <w:r>
        <w:t xml:space="preserve">Nwosu's own queer, non-binary and Nigerian American perspective adds another layer to the collaboration. Their visual work connects with the book's interest in ancestry, cultural memory and the search for people who have lived outside rigid categories. It gives </w:t>
      </w:r>
      <w:r>
        <w:rPr>
          <w:i/>
        </w:rPr>
        <w:t>Bad Queer</w:t>
      </w:r>
      <w:r>
        <w:t xml:space="preserve"> a sense of conversation across communities rather than a single, fixed definition of queerness.</w:t>
      </w:r>
      <w:r/>
    </w:p>
    <w:p>
      <w:pPr>
        <w:pStyle w:val="Heading2"/>
      </w:pPr>
      <w:r>
        <w:t>Why the youth theatre setting matters</w:t>
      </w:r>
      <w:r/>
    </w:p>
    <w:p>
      <w:r/>
      <w:r>
        <w:t>The turning point comes when Surya auditions for a school youth theatre group. On stage, they find more than a hobby. Rehearsal becomes a collective act, and the group offers a place where being different isn't something that needs to be explained before it can be accepted.</w:t>
      </w:r>
      <w:r/>
    </w:p>
    <w:p>
      <w:r/>
      <w:r>
        <w:t xml:space="preserve">That setting reflects Kamalakanthan's own connection with theatre and performance. An interview with Tamil Guardian describes their interest in queer Tamil identity, while DesiBlitz places </w:t>
      </w:r>
      <w:r>
        <w:rPr>
          <w:i/>
        </w:rPr>
        <w:t>Bad Queer</w:t>
      </w:r>
      <w:r>
        <w:t xml:space="preserve"> within a wider effort to challenge narrow ideas about South Asian representation.</w:t>
      </w:r>
      <w:r/>
    </w:p>
    <w:p>
      <w:r/>
      <w:r>
        <w:t>The supporting cast helps make the theatre group feel lived-in rather than magically perfect. There are friends with bold badges, small gestures of comfort and a new crush whose smile causes immediate internal commotion. For a reader who has ever felt awkward walking into a new room, the appeal is obvious: sometimes belonging starts with simply being invited to stay.</w:t>
      </w:r>
      <w:r/>
    </w:p>
    <w:p>
      <w:pPr>
        <w:pStyle w:val="Heading2"/>
      </w:pPr>
      <w:r>
        <w:t>A first romance built around communication</w:t>
      </w:r>
      <w:r/>
    </w:p>
    <w:p>
      <w:r/>
      <w:r>
        <w:t>Surya's feelings for Blessing bring warmth to the story, but the relationship isn't treated as effortless. Blessing is caring, yet he has his own learning to do around Surya's transness. He gets things wrong, thinks again and keeps trying, which is far more useful than presenting acceptance as an instant personality upgrade.</w:t>
      </w:r>
      <w:r/>
    </w:p>
    <w:p>
      <w:r/>
      <w:r>
        <w:t>The romance also gives the novel space to discuss consent in ordinary, believable language. The characters are not delivering polished speeches. They hesitate, laugh nervously and work out what feels comfortable before physical intimacy takes over.</w:t>
      </w:r>
      <w:r/>
    </w:p>
    <w:p>
      <w:r/>
      <w:r>
        <w:t>That focus is especially welcome in young adult fiction. Publishers Weekly and Kirkus both identify the novel's emotional and relational detail as part of its strength, while the book's wider reception has noted its emphasis on care rather than drama for drama's sake. For teenagers learning how to communicate, those imperfect conversations may be among the most valuable scenes in the book.</w:t>
      </w:r>
      <w:r/>
    </w:p>
    <w:p>
      <w:pPr>
        <w:pStyle w:val="Heading2"/>
      </w:pPr>
      <w:r>
        <w:t>A hopeful family story without easy answers</w:t>
      </w:r>
      <w:r/>
    </w:p>
    <w:p>
      <w:r/>
      <w:r>
        <w:t>Surya's parents are queer and non-binary, and their home is broadly safe, but that doesn't mean every conversation is simple. Kamalakanthan has chosen to show a family where gender identity is part of everyday life rather than the only source of conflict.</w:t>
      </w:r>
      <w:r/>
    </w:p>
    <w:p>
      <w:r/>
      <w:r>
        <w:t xml:space="preserve">That decision matters. Too many stories about queer teenagers make family rejection the central plot engine, leaving little room for ordinary teenage messiness, humour or desire. </w:t>
      </w:r>
      <w:r>
        <w:rPr>
          <w:i/>
        </w:rPr>
        <w:t>Bad Queer</w:t>
      </w:r>
      <w:r>
        <w:t xml:space="preserve"> instead asks what adolescence might look like when a young person has enough safety to discover who they are.</w:t>
      </w:r>
      <w:r/>
    </w:p>
    <w:p>
      <w:r/>
      <w:r>
        <w:t>The book's hopefulness isn't sugary. Surya still faces misgendering, uncertainty and the exhausting work of being seen accurately. But the story imagines a future in which queer young people can build relationships, make mistakes and experience tenderness without having to earn their right to exist first.</w:t>
      </w:r>
      <w:r/>
    </w:p>
    <w:p>
      <w:r/>
      <w:r>
        <w:rPr>
          <w:i/>
        </w:rPr>
        <w:t>Bad Queer</w:t>
      </w:r>
      <w:r>
        <w:t xml:space="preserve"> is a thoughtful choice for readers seeking queer YA fiction about identity, Tamil heritage, first love and consent.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[5]</w:t>
        </w:r>
      </w:hyperlink>
      <w:r>
        <w:t xml:space="preserve">, </w:t>
      </w:r>
      <w:hyperlink r:id="rId13">
        <w:r>
          <w:rPr>
            <w:color w:val="0000EE"/>
            <w:u w:val="single"/>
          </w:rPr>
          <w:t>[6]</w:t>
        </w:r>
      </w:hyperlink>
      <w:r>
        <w:t xml:space="preserve">- Paragraph 3: </w:t>
      </w:r>
      <w:hyperlink r:id="rId14">
        <w:r>
          <w:rPr>
            <w:color w:val="0000EE"/>
            <w:u w:val="single"/>
          </w:rPr>
          <w:t>[3]</w:t>
        </w:r>
      </w:hyperlink>
      <w:r>
        <w:t xml:space="preserve">, </w:t>
      </w:r>
      <w:hyperlink r:id="rId15">
        <w:r>
          <w:rPr>
            <w:color w:val="0000EE"/>
            <w:u w:val="single"/>
          </w:rPr>
          <w:t>[7]</w:t>
        </w:r>
      </w:hyperlink>
      <w:r>
        <w:t xml:space="preserve">- Paragraph 4: </w:t>
      </w:r>
      <w:hyperlink r:id="rId11">
        <w:r>
          <w:rPr>
            <w:color w:val="0000EE"/>
            <w:u w:val="single"/>
          </w:rPr>
          <w:t>[4]</w:t>
        </w:r>
      </w:hyperlink>
      <w:r>
        <w:t xml:space="preserve">, </w:t>
      </w:r>
      <w:hyperlink r:id="rId12">
        <w:r>
          <w:rPr>
            <w:color w:val="0000EE"/>
            <w:u w:val="single"/>
          </w:rPr>
          <w:t>[5]</w:t>
        </w:r>
      </w:hyperlink>
      <w:r>
        <w:t xml:space="preserve">- Paragraph 5: </w:t>
      </w:r>
      <w:hyperlink r:id="rId10">
        <w:r>
          <w:rPr>
            <w:color w:val="0000EE"/>
            <w:u w:val="single"/>
          </w:rPr>
          <w:t>[2]</w:t>
        </w:r>
      </w:hyperlink>
      <w:r>
        <w:t xml:space="preserve">, </w:t>
      </w:r>
      <w:hyperlink r:id="rId13">
        <w:r>
          <w:rPr>
            <w:color w:val="0000EE"/>
            <w:u w:val="single"/>
          </w:rPr>
          <w:t>[6]</w:t>
        </w:r>
      </w:hyperlink>
      <w:r>
        <w:t xml:space="preserve">- Paragraph 6: </w:t>
      </w:r>
      <w:hyperlink r:id="rId14">
        <w:r>
          <w:rPr>
            <w:color w:val="0000EE"/>
            <w:u w:val="single"/>
          </w:rPr>
          <w:t>[3]</w:t>
        </w:r>
      </w:hyperlink>
      <w:r>
        <w:t xml:space="preserve">, </w:t>
      </w:r>
      <w:hyperlink r:id="rId15">
        <w:r>
          <w:rPr>
            <w:color w:val="0000EE"/>
            <w:u w:val="single"/>
          </w:rPr>
          <w:t>[7]</w:t>
        </w:r>
      </w:hyperlink>
      <w:r>
        <w:t xml:space="preserve">- Paragraph 7: </w:t>
      </w:r>
      <w:hyperlink r:id="rId11">
        <w:r>
          <w:rPr>
            <w:color w:val="0000EE"/>
            <w:u w:val="single"/>
          </w:rPr>
          <w:t>[4]</w:t>
        </w:r>
      </w:hyperlink>
      <w:r>
        <w:t xml:space="preserve">, </w:t>
      </w:r>
      <w:hyperlink r:id="rId12">
        <w:r>
          <w:rPr>
            <w:color w:val="0000EE"/>
            <w:u w:val="single"/>
          </w:rPr>
          <w:t>[5]</w:t>
        </w:r>
      </w:hyperlink>
      <w:r>
        <w:t xml:space="preserve">- Paragraph 8: </w:t>
      </w:r>
      <w:hyperlink r:id="rId13">
        <w:r>
          <w:rPr>
            <w:color w:val="0000EE"/>
            <w:u w:val="single"/>
          </w:rPr>
          <w:t>[6]</w:t>
        </w:r>
      </w:hyperlink>
      <w:r>
        <w:t xml:space="preserve">, </w:t>
      </w:r>
      <w:hyperlink r:id="rId15">
        <w:r>
          <w:rPr>
            <w:color w:val="0000EE"/>
            <w:u w:val="single"/>
          </w:rPr>
          <w:t>[7]</w:t>
        </w:r>
      </w:hyperlink>
      <w:r>
        <w:t xml:space="preserve">- Paragraph 9: </w:t>
      </w:r>
      <w:hyperlink r:id="rId10">
        <w:r>
          <w:rPr>
            <w:color w:val="0000EE"/>
            <w:u w:val="single"/>
          </w:rPr>
          <w:t>[2]</w:t>
        </w:r>
      </w:hyperlink>
      <w:r>
        <w:t xml:space="preserve">, </w:t>
      </w:r>
      <w:hyperlink r:id="rId11">
        <w:r>
          <w:rPr>
            <w:color w:val="0000EE"/>
            <w:u w:val="single"/>
          </w:rPr>
          <w:t>[4]</w:t>
        </w:r>
      </w:hyperlink>
      <w:r>
        <w:t xml:space="preserve">- Paragraph 10: </w:t>
      </w:r>
      <w:hyperlink r:id="rId12">
        <w:r>
          <w:rPr>
            <w:color w:val="0000EE"/>
            <w:u w:val="single"/>
          </w:rPr>
          <w:t>[5]</w:t>
        </w:r>
      </w:hyperlink>
      <w:r>
        <w:t xml:space="preserve">, </w:t>
      </w:r>
      <w:hyperlink r:id="rId13">
        <w:r>
          <w:rPr>
            <w:color w:val="0000EE"/>
            <w:u w:val="single"/>
          </w:rPr>
          <w:t>[6]</w:t>
        </w:r>
      </w:hyperlink>
      <w:r>
        <w:t xml:space="preserve">- Paragraph 11: </w:t>
      </w:r>
      <w:hyperlink r:id="rId14">
        <w:r>
          <w:rPr>
            <w:color w:val="0000EE"/>
            <w:u w:val="single"/>
          </w:rPr>
          <w:t>[3]</w:t>
        </w:r>
      </w:hyperlink>
      <w:r>
        <w:t xml:space="preserve">, </w:t>
      </w:r>
      <w:hyperlink r:id="rId15">
        <w:r>
          <w:rPr>
            <w:color w:val="0000EE"/>
            <w:u w:val="single"/>
          </w:rPr>
          <w:t>[7]</w:t>
        </w:r>
      </w:hyperlink>
      <w:r>
        <w:t xml:space="preserve">- Paragraph 12: </w:t>
      </w:r>
      <w:hyperlink r:id="rId10">
        <w:r>
          <w:rPr>
            <w:color w:val="0000EE"/>
            <w:u w:val="single"/>
          </w:rPr>
          <w:t>[2]</w:t>
        </w:r>
      </w:hyperlink>
      <w:r>
        <w:t xml:space="preserve">, </w:t>
      </w:r>
      <w:hyperlink r:id="rId11">
        <w:r>
          <w:rPr>
            <w:color w:val="0000EE"/>
            <w:u w:val="single"/>
          </w:rPr>
          <w:t>[4]</w:t>
        </w:r>
      </w:hyperlink>
      <w:r>
        <w:t xml:space="preserve">- Paragraph 13: </w:t>
      </w:r>
      <w:hyperlink r:id="rId12">
        <w:r>
          <w:rPr>
            <w:color w:val="0000EE"/>
            <w:u w:val="single"/>
          </w:rPr>
          <w:t>[5]</w:t>
        </w:r>
      </w:hyperlink>
      <w:r>
        <w:t xml:space="preserve">, </w:t>
      </w:r>
      <w:hyperlink r:id="rId13">
        <w:r>
          <w:rPr>
            <w:color w:val="0000EE"/>
            <w:u w:val="single"/>
          </w:rPr>
          <w:t>[6]</w:t>
        </w:r>
      </w:hyperlink>
      <w:r>
        <w:t xml:space="preserve">- Paragraph 14: </w:t>
      </w:r>
      <w:hyperlink r:id="rId14">
        <w:r>
          <w:rPr>
            <w:color w:val="0000EE"/>
            <w:u w:val="single"/>
          </w:rPr>
          <w:t>[3]</w:t>
        </w:r>
      </w:hyperlink>
      <w:r>
        <w:t xml:space="preserve">, </w:t>
      </w:r>
      <w:hyperlink r:id="rId15">
        <w:r>
          <w:rPr>
            <w:color w:val="0000EE"/>
            <w:u w:val="single"/>
          </w:rPr>
          <w:t>[7]</w:t>
        </w:r>
      </w:hyperlink>
      <w:r>
        <w:t xml:space="preserve">- Paragraph 15: </w:t>
      </w:r>
      <w:hyperlink r:id="rId10">
        <w:r>
          <w:rPr>
            <w:color w:val="0000EE"/>
            <w:u w:val="single"/>
          </w:rPr>
          <w:t>[2]</w:t>
        </w:r>
      </w:hyperlink>
      <w:r>
        <w:t xml:space="preserve">, </w:t>
      </w:r>
      <w:hyperlink r:id="rId11">
        <w:r>
          <w:rPr>
            <w:color w:val="0000EE"/>
            <w:u w:val="single"/>
          </w:rPr>
          <w:t>[4]</w:t>
        </w:r>
      </w:hyperlink>
      <w:r>
        <w:t xml:space="preserve">- Paragraph 16: </w:t>
      </w:r>
      <w:hyperlink r:id="rId12">
        <w:r>
          <w:rPr>
            <w:color w:val="0000EE"/>
            <w:u w:val="single"/>
          </w:rPr>
          <w:t>[5]</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https://www.abc.net.au/news/2026-09-07/bad-queer-gayathiri-kamalakanthan-chi-nwosu-young-adult-fiction/107116832</w:t>
        </w:r>
      </w:hyperlink>
      <w:r>
        <w:t xml:space="preserve"> - Please view link - unable to able to access data</w:t>
      </w:r>
      <w:r/>
    </w:p>
    <w:p>
      <w:pPr>
        <w:pStyle w:val="ListNumber"/>
        <w:spacing w:line="240" w:lineRule="auto"/>
        <w:ind w:left="720"/>
      </w:pPr>
      <w:r/>
      <w:hyperlink r:id="rId10">
        <w:r>
          <w:rPr>
            <w:color w:val="0000EE"/>
            <w:u w:val="single"/>
          </w:rPr>
          <w:t>https://www.faber.co.uk/product/9780571390663-bad-queer/</w:t>
        </w:r>
      </w:hyperlink>
      <w:r>
        <w:t xml:space="preserve"> - Faber’s product page gives the clearest official publication details for Bad Queer. It identifies Gayathiri Kamalakanthan as author and Chi Nwosu as illustrator, confirms the paperback publication date as 26 March 2026, and describes the book as a debut YA verse novel about a non-binary teenager, Surya, who falls for Blessing. The page adds jacket copy, endorsement quotes, and the publisher’s framing of the book as a ‘love letter to queer futures’. It also links to a separate Faber news item about acquiring the title, which can help reconstruct the publishing timeline and positioning around the book.</w:t>
      </w:r>
      <w:r/>
    </w:p>
    <w:p>
      <w:pPr>
        <w:pStyle w:val="ListNumber"/>
        <w:spacing w:line="240" w:lineRule="auto"/>
        <w:ind w:left="720"/>
      </w:pPr>
      <w:r/>
      <w:hyperlink r:id="rId14">
        <w:r>
          <w:rPr>
            <w:color w:val="0000EE"/>
            <w:u w:val="single"/>
          </w:rPr>
          <w:t>https://www.tamilguardian.com/index.php/content/loud-and-proud-representative-their-queer-tamil-identity-interview-gayathiri-kamalakanthan</w:t>
        </w:r>
      </w:hyperlink>
      <w:r>
        <w:t xml:space="preserve"> - Tamil Guardian’s interview adds author background and context around Gayathiri Kamalakanthan’s Tamil identity, their debut play Period Parrrty, and the thinking behind Bad Queer. It frames the novel as a coming-of-age story about first love for a non-binary teenager and includes Kamalakanthan’s views on adolescence, politics, family, and how they wanted to imagine queer Tamil futures. The interview is useful because it contains direct comments that expand the article’s themes of consent, gender, and intergenerational belonging, rather than simply repeating the premise.</w:t>
      </w:r>
      <w:r/>
    </w:p>
    <w:p>
      <w:pPr>
        <w:pStyle w:val="ListNumber"/>
        <w:spacing w:line="240" w:lineRule="auto"/>
        <w:ind w:left="720"/>
      </w:pPr>
      <w:r/>
      <w:hyperlink r:id="rId11">
        <w:r>
          <w:rPr>
            <w:color w:val="0000EE"/>
            <w:u w:val="single"/>
          </w:rPr>
          <w:t>https://www.kirkusreviews.com/book-reviews/gayathiri-kamalakanthan/bad-queer/</w:t>
        </w:r>
      </w:hyperlink>
      <w:r>
        <w:t xml:space="preserve"> - Kirkus gives a strong critical overview that adds intergenerational and colonial background absent from the ABC piece. It identifies Surya as a genderqueer teenager from London, notes the Sri Lankan Tamil family history, and stresses how the novel explores the clash between family love and binary expectations. Kirkus also highlights the book’s treatment of colonisation, queer and trans criminalisation, theatre as a route to self-expression, and the role of Nwosu’s line drawings. Its review helps reposition the book as not just a romance but a layered YA verse novel about apology, making amends and self-love.</w:t>
      </w:r>
      <w:r/>
    </w:p>
    <w:p>
      <w:pPr>
        <w:pStyle w:val="ListNumber"/>
        <w:spacing w:line="240" w:lineRule="auto"/>
        <w:ind w:left="720"/>
      </w:pPr>
      <w:r/>
      <w:hyperlink r:id="rId12">
        <w:r>
          <w:rPr>
            <w:color w:val="0000EE"/>
            <w:u w:val="single"/>
          </w:rPr>
          <w:t>https://www.publishersweekly.com/9780571390663</w:t>
        </w:r>
      </w:hyperlink>
      <w:r>
        <w:t xml:space="preserve"> - Publishers Weekly adds a concise starred-style trade review with a sharper emphasis on style and publishing context. It confirms the Faber &amp; Faber edition, ISBN, and page count, but most importantly it describes the novel’s emotional beats, the way Surya freezes when misgendered, and the theatre programme that helps them confront fear of being perceived. The review also notes Surya’s loving home life, first crush, and the novel’s willingness to show transphobic rhetoric in the theatre group. It is especially useful for how it quotes the text and characterises the book’s tone as intense, compassionate and worth recommending.</w:t>
      </w:r>
      <w:r/>
    </w:p>
    <w:p>
      <w:pPr>
        <w:pStyle w:val="ListNumber"/>
        <w:spacing w:line="240" w:lineRule="auto"/>
        <w:ind w:left="720"/>
      </w:pPr>
      <w:r/>
      <w:hyperlink r:id="rId13">
        <w:r>
          <w:rPr>
            <w:color w:val="0000EE"/>
            <w:u w:val="single"/>
          </w:rPr>
          <w:t>https://jhalakreview.substack.com/p/safe-havens-in-queer-verse-novels</w:t>
        </w:r>
      </w:hyperlink>
      <w:r>
        <w:t xml:space="preserve"> - Jhalak Review places Bad Queer in conversation with Dean Atta’s The Black Flamingo, adding comparative literary context rather than repeating plot. It argues both books create safe havens for gay, queer, trans or questioning youth, especially young people of colour. This helps locate Bad Queer within a wider British YA verse tradition and shows how it is being read as part of an emerging canon of queer youth literature. The review also points to how the novel resists neat representation categories and uses the verse form itself as part of that resistance.</w:t>
      </w:r>
      <w:r/>
    </w:p>
    <w:p>
      <w:pPr>
        <w:pStyle w:val="ListNumber"/>
        <w:spacing w:line="240" w:lineRule="auto"/>
        <w:ind w:left="720"/>
      </w:pPr>
      <w:r/>
      <w:hyperlink r:id="rId15">
        <w:r>
          <w:rPr>
            <w:color w:val="0000EE"/>
            <w:u w:val="single"/>
          </w:rPr>
          <w:t>https://www.desiblitz.com/content/gayathiri-kamalakanthan-breaks-boundaries-in-bad-queer</w:t>
        </w:r>
      </w:hyperlink>
      <w:r>
        <w:t xml:space="preserve"> - DESIblitz adds a long interview-driven profile with extra detail on how the book was written and on Kamalakanthan’s sex education work. It foregrounds consent, boundaries, first love and Tamil family identity, and gives direct quotes about the phrase ‘bad queer’ and about the author expanding the project from a poem into a full novel. It also connects the book to Period Parrrty and to Kamalakanthan’s teaching. This source is valuable because it provides a more magazine-like, explanatory angle and includes several author quotations that deepen the story’s themes.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bc.net.au/news/2026-09-07/bad-queer-gayathiri-kamalakanthan-chi-nwosu-young-adult-fiction/107116832" TargetMode="External"/><Relationship Id="rId10" Type="http://schemas.openxmlformats.org/officeDocument/2006/relationships/hyperlink" Target="https://www.faber.co.uk/product/9780571390663-bad-queer/" TargetMode="External"/><Relationship Id="rId11" Type="http://schemas.openxmlformats.org/officeDocument/2006/relationships/hyperlink" Target="https://www.kirkusreviews.com/book-reviews/gayathiri-kamalakanthan/bad-queer/" TargetMode="External"/><Relationship Id="rId12" Type="http://schemas.openxmlformats.org/officeDocument/2006/relationships/hyperlink" Target="https://www.publishersweekly.com/9780571390663" TargetMode="External"/><Relationship Id="rId13" Type="http://schemas.openxmlformats.org/officeDocument/2006/relationships/hyperlink" Target="https://jhalakreview.substack.com/p/safe-havens-in-queer-verse-novels" TargetMode="External"/><Relationship Id="rId14" Type="http://schemas.openxmlformats.org/officeDocument/2006/relationships/hyperlink" Target="https://www.tamilguardian.com/index.php/content/loud-and-proud-representative-their-queer-tamil-identity-interview-gayathiri-kamalakanthan" TargetMode="External"/><Relationship Id="rId15" Type="http://schemas.openxmlformats.org/officeDocument/2006/relationships/hyperlink" Target="https://www.desiblitz.com/content/gayathiri-kamalakanthan-breaks-boundaries-in-bad-quee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