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Religious Freedom and LGBTQ+ Equality Still Collide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Norwegian debate over same-sex relationships, church teaching and state funding is forcing a difficult question into the open: when does religious freedom stop protecting discrimination, and should public money support it?</w:t>
      </w:r>
      <w:r/>
    </w:p>
    <w:p>
      <w:pPr>
        <w:pStyle w:val="Heading2"/>
      </w:pPr>
      <w:r>
        <w:t>Essential takeaways</w:t>
      </w:r>
      <w:r/>
      <w:r/>
    </w:p>
    <w:p>
      <w:pPr>
        <w:pStyle w:val="ListBullet"/>
        <w:spacing w:line="240" w:lineRule="auto"/>
        <w:ind w:left="720"/>
      </w:pPr>
      <w:r/>
      <w:r>
        <w:rPr>
          <w:b/>
        </w:rPr>
        <w:t>The central tension:</w:t>
      </w:r>
      <w:r>
        <w:t xml:space="preserve"> Religious communities can hold theological views, but those views can still cause real harm.</w:t>
      </w:r>
      <w:r/>
    </w:p>
    <w:p>
      <w:pPr>
        <w:pStyle w:val="ListBullet"/>
        <w:spacing w:line="240" w:lineRule="auto"/>
        <w:ind w:left="720"/>
      </w:pPr>
      <w:r/>
      <w:r>
        <w:rPr>
          <w:b/>
        </w:rPr>
        <w:t>A public-health concern:</w:t>
      </w:r>
      <w:r>
        <w:t xml:space="preserve"> Research links hostile attitudes towards LGBTQ+ people with greater mental-health risks, particularly among young people.</w:t>
      </w:r>
      <w:r/>
    </w:p>
    <w:p>
      <w:pPr>
        <w:pStyle w:val="ListBullet"/>
        <w:spacing w:line="240" w:lineRule="auto"/>
        <w:ind w:left="720"/>
      </w:pPr>
      <w:r/>
      <w:r>
        <w:rPr>
          <w:b/>
        </w:rPr>
        <w:t>State support matters:</w:t>
      </w:r>
      <w:r>
        <w:t xml:space="preserve"> Norway provides grants to eligible religious communities based partly on registered membership.</w:t>
      </w:r>
      <w:r/>
    </w:p>
    <w:p>
      <w:pPr>
        <w:pStyle w:val="ListBullet"/>
        <w:spacing w:line="240" w:lineRule="auto"/>
        <w:ind w:left="720"/>
      </w:pPr>
      <w:r/>
      <w:r>
        <w:rPr>
          <w:b/>
        </w:rPr>
        <w:t>Congregations are changing:</w:t>
      </w:r>
      <w:r>
        <w:t xml:space="preserve"> Some members have reportedly left churches during recent disputes over same-sex relationships.</w:t>
      </w:r>
      <w:r/>
    </w:p>
    <w:p>
      <w:pPr>
        <w:pStyle w:val="ListBullet"/>
        <w:spacing w:line="240" w:lineRule="auto"/>
        <w:ind w:left="720"/>
      </w:pPr>
      <w:r/>
      <w:r>
        <w:rPr>
          <w:b/>
        </w:rPr>
        <w:t>The debate is personal:</w:t>
      </w:r>
      <w:r>
        <w:t xml:space="preserve"> For LGBTQ+ teenagers, a sermon about “sin” can feel less like doctrine and more like a judgement on their identity.</w:t>
      </w:r>
      <w:r/>
      <w:r/>
    </w:p>
    <w:p>
      <w:pPr>
        <w:pStyle w:val="Heading2"/>
      </w:pPr>
      <w:r>
        <w:t>A royal speech became something larger</w:t>
      </w:r>
      <w:r/>
    </w:p>
    <w:p>
      <w:r/>
      <w:r>
        <w:t>Few political speeches have the staying power of an apparently simple description of everyday life. When King Harald spoke about girls loving girls, boys loving boys and people loving one another, he wasn't offering a policy platform. He was presenting an image of Norway as a country broad enough to include everyone.</w:t>
      </w:r>
      <w:r/>
    </w:p>
    <w:p>
      <w:r/>
      <w:r>
        <w:t>That message has gained extra weight since his death. It now sits at the centre of a wider argument about whether religious communities across southern Norway are prepared to extend the same sense of belonging to LGBTQ+ people. The question is no longer simply what a denomination believes, but what those beliefs mean in practice for young people growing up inside it.</w:t>
      </w:r>
      <w:r/>
    </w:p>
    <w:p>
      <w:r/>
      <w:r>
        <w:t>The pressure is especially visible where churches describe opposition to same-sex relationships as an expression of care. For someone hearing that their feelings must be resisted or prayed away, the language of concern may sound painfully different from the intention behind it.</w:t>
      </w:r>
      <w:r/>
    </w:p>
    <w:p>
      <w:pPr>
        <w:pStyle w:val="Heading2"/>
      </w:pPr>
      <w:r>
        <w:t>Why this is more than a theological disagreement</w:t>
      </w:r>
      <w:r/>
    </w:p>
    <w:p>
      <w:r/>
      <w:r>
        <w:t>Religious teaching doesn't exist in a vacuum. It reaches families, schools, youth groups and social circles, often during adolescence, when identity can already feel like a room with the lights flickering.</w:t>
      </w:r>
      <w:r/>
    </w:p>
    <w:p>
      <w:r/>
      <w:r>
        <w:t>Norwegian research on sexual orientation and gender diversity, commissioned by the Norwegian Directorate for Children, Youth and Family Affairs, has documented higher levels of suicidal thoughts and suicide attempts among LGBTQ+ people than in the wider population. Trans people face particularly serious risks, while international research has also associated negative, religiously justified attitudes at home with a higher risk of suicide attempts among LGBTQ+ young people.</w:t>
      </w:r>
      <w:r/>
    </w:p>
    <w:p>
      <w:r/>
      <w:r>
        <w:t>That doesn't mean every person of faith who holds a traditional view intends harm. It does mean communities need to take responsibility for the consequences of what they teach, especially when young members are listening closely. Good intentions aren't a substitute for safety.</w:t>
      </w:r>
      <w:r/>
    </w:p>
    <w:p>
      <w:pPr>
        <w:pStyle w:val="Heading2"/>
      </w:pPr>
      <w:r>
        <w:t>The membership question is becoming impossible to ignore</w:t>
      </w:r>
      <w:r/>
    </w:p>
    <w:p>
      <w:r/>
      <w:r>
        <w:t>The dispute is also about money. Norway's system supports registered religious and life-stance communities, with grants tied to eligible membership. That makes membership more than a private spiritual choice: it can carry financial and institutional consequences.</w:t>
      </w:r>
      <w:r/>
    </w:p>
    <w:p>
      <w:r/>
      <w:r>
        <w:t>Government information explains how support is calculated for eligible members, while recent reporting has highlighted the scale of religious membership and the public funding connected to it. Critics argue that taxpayers shouldn't be expected to finance organisations that deny equal dignity to a protected minority. Religious leaders, meanwhile, are likely to view state funding as part of a broader principle of equal treatment between communities.</w:t>
      </w:r>
      <w:r/>
    </w:p>
    <w:p>
      <w:r/>
      <w:r>
        <w:t>This is where the debate becomes genuinely awkward. Freedom of religion protects the right to believe and worship, but it doesn't automatically settle the question of public money. A society can defend religious liberty while still asking whether state support should come with conditions on discrimination, governance or safeguarding.</w:t>
      </w:r>
      <w:r/>
    </w:p>
    <w:p>
      <w:pPr>
        <w:pStyle w:val="Heading2"/>
      </w:pPr>
      <w:r>
        <w:t>Congregations are feeling the fallout</w:t>
      </w:r>
      <w:r/>
    </w:p>
    <w:p>
      <w:r/>
      <w:r>
        <w:t>The argument isn't staying on social media or in opinion columns. Some congregations have seen members leave after disagreements over same-sex relationships, according to reports from Norwegian religious media. One church has reportedly lost around 90 members since the summer, while another faced a noticeable wave of departures after its position became a public issue.</w:t>
      </w:r>
      <w:r/>
    </w:p>
    <w:p>
      <w:r/>
      <w:r>
        <w:t>Those exits matter because they send two messages at once. First, disagreement exists inside religious communities, rather than only between believers and non-believers. Secondly, silence isn't necessarily neutrality: staying can be interpreted as acceptance, while leaving can become a visible statement.</w:t>
      </w:r>
      <w:r/>
    </w:p>
    <w:p>
      <w:r/>
      <w:r>
        <w:t>There are other routes, too. Members can raise the issue in church meetings, ask leaders to explain their policies and support LGBTQ+ people within the congregation. The Church of Norway's own evolution shows that traditions can change, although reform is rarely quick or comfortable.</w:t>
      </w:r>
      <w:r/>
    </w:p>
    <w:p>
      <w:pPr>
        <w:pStyle w:val="Heading2"/>
      </w:pPr>
      <w:r>
        <w:t>What should happen next?</w:t>
      </w:r>
      <w:r/>
    </w:p>
    <w:p>
      <w:r/>
      <w:r>
        <w:t>The most useful next step is a more precise conversation. Communities should distinguish between a private theological conviction and practices that pressure people to suppress, change or deny their sexual orientation or gender identity. Those are not abstract differences when teenagers are involved.</w:t>
      </w:r>
      <w:r/>
    </w:p>
    <w:p>
      <w:r/>
      <w:r>
        <w:t>Norway's authorities have already had to examine accusations of discrimination involving religious organisations. In one case, the state concluded that the facts did not support the allegation in the way critics had claimed, while other disputes have centred on whether controversial declarations should be clarified or amended. Together, these cases show how difficult it is to balance autonomy, equality and public accountability.</w:t>
      </w:r>
      <w:r/>
    </w:p>
    <w:p>
      <w:r/>
      <w:r>
        <w:t>For families, the practical test is fairly simple: can a young person ask questions without being shamed, find support without hiding and remain part of the community without being told that love makes them morally defective? If the answer is no, the language of welcome needs more than a polished statement.</w:t>
      </w:r>
      <w:r/>
    </w:p>
    <w:p>
      <w:r/>
      <w:r>
        <w:t>A country can protect worship and still insist that LGBTQ+ citizens deserve safety, dignity and equal standing. That isn't an attack on faith. It's the minimum standard for living together.</w:t>
      </w:r>
      <w:r/>
    </w:p>
    <w:p>
      <w:r/>
      <w:r>
        <w:t>It's worth asking not only what communities believe, but what their members experience.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1">
        <w:r>
          <w:rPr>
            <w:color w:val="0000EE"/>
            <w:u w:val="single"/>
          </w:rPr>
          <w:t>[4]</w:t>
        </w:r>
      </w:hyperlink>
      <w:r>
        <w:t xml:space="preserve">- Paragraph 4: </w:t>
      </w:r>
      <w:hyperlink r:id="rId15">
        <w:r>
          <w:rPr>
            <w:color w:val="0000EE"/>
            <w:u w:val="single"/>
          </w:rPr>
          <w:t>[7]</w:t>
        </w:r>
      </w:hyperlink>
      <w:r>
        <w:t xml:space="preserve">, </w:t>
      </w:r>
      <w:hyperlink r:id="rId10">
        <w:r>
          <w:rPr>
            <w:color w:val="0000EE"/>
            <w:u w:val="single"/>
          </w:rPr>
          <w:t>[2]</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1">
        <w:r>
          <w:rPr>
            <w:color w:val="0000EE"/>
            <w:u w:val="single"/>
          </w:rPr>
          <w:t>[4]</w:t>
        </w:r>
      </w:hyperlink>
      <w:r>
        <w:t xml:space="preserve">, </w:t>
      </w:r>
      <w:hyperlink r:id="rId15">
        <w:r>
          <w:rPr>
            <w:color w:val="0000EE"/>
            <w:u w:val="single"/>
          </w:rPr>
          <w:t>[7]</w:t>
        </w:r>
      </w:hyperlink>
      <w:r>
        <w:t xml:space="preserve">- Paragraph 7: </w:t>
      </w:r>
      <w:hyperlink r:id="rId14">
        <w:r>
          <w:rPr>
            <w:color w:val="0000EE"/>
            <w:u w:val="single"/>
          </w:rPr>
          <w:t>[6]</w:t>
        </w:r>
      </w:hyperlink>
      <w:r>
        <w:t xml:space="preserve">, </w:t>
      </w:r>
      <w:hyperlink r:id="rId12">
        <w:r>
          <w:rPr>
            <w:color w:val="0000EE"/>
            <w:u w:val="single"/>
          </w:rPr>
          <w:t>[3]</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2">
        <w:r>
          <w:rPr>
            <w:color w:val="0000EE"/>
            <w:u w:val="single"/>
          </w:rPr>
          <w:t>[3]</w:t>
        </w:r>
      </w:hyperlink>
      <w:r>
        <w:t xml:space="preserve">, </w:t>
      </w:r>
      <w:hyperlink r:id="rId15">
        <w:r>
          <w:rPr>
            <w:color w:val="0000EE"/>
            <w:u w:val="single"/>
          </w:rPr>
          <w:t>[7]</w:t>
        </w:r>
      </w:hyperlink>
      <w:r>
        <w:t xml:space="preserve">- Paragraph 11: </w:t>
      </w:r>
      <w:hyperlink r:id="rId14">
        <w:r>
          <w:rPr>
            <w:color w:val="0000EE"/>
            <w:u w:val="single"/>
          </w:rPr>
          <w:t>[6]</w:t>
        </w:r>
      </w:hyperlink>
      <w:r>
        <w:t xml:space="preserve">, </w:t>
      </w:r>
      <w:hyperlink r:id="rId11">
        <w:r>
          <w:rPr>
            <w:color w:val="0000EE"/>
            <w:u w:val="single"/>
          </w:rPr>
          <w:t>[4]</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1">
        <w:r>
          <w:rPr>
            <w:color w:val="0000EE"/>
            <w:u w:val="single"/>
          </w:rPr>
          <w:t>[4]</w:t>
        </w:r>
      </w:hyperlink>
      <w:r>
        <w:t xml:space="preserve">, </w:t>
      </w:r>
      <w:hyperlink r:id="rId15">
        <w:r>
          <w:rPr>
            <w:color w:val="0000EE"/>
            <w:u w:val="single"/>
          </w:rPr>
          <w:t>[7]</w:t>
        </w:r>
      </w:hyperlink>
      <w:r>
        <w:t xml:space="preserve">- Paragraph 14: </w:t>
      </w:r>
      <w:hyperlink r:id="rId14">
        <w:r>
          <w:rPr>
            <w:color w:val="0000EE"/>
            <w:u w:val="single"/>
          </w:rPr>
          <w:t>[6]</w:t>
        </w:r>
      </w:hyperlink>
      <w:r>
        <w:t xml:space="preserve">, </w:t>
      </w:r>
      <w:hyperlink r:id="rId12">
        <w:r>
          <w:rPr>
            <w:color w:val="0000EE"/>
            <w:u w:val="single"/>
          </w:rPr>
          <w:t>[3]</w:t>
        </w:r>
      </w:hyperlink>
      <w:r>
        <w:t xml:space="preserve">- Paragraph 15: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https://www.fvn.no/mening/kronikk/o/j0Xzbn/kongstanker-om-kjaerlighet</w:t>
        </w:r>
      </w:hyperlink>
      <w:r>
        <w:t xml:space="preserve"> - Please view link - unable to able to access data</w:t>
      </w:r>
      <w:r/>
    </w:p>
    <w:p>
      <w:pPr>
        <w:pStyle w:val="ListNumber"/>
        <w:spacing w:line="240" w:lineRule="auto"/>
        <w:ind w:left="720"/>
      </w:pPr>
      <w:r/>
      <w:hyperlink r:id="rId10">
        <w:r>
          <w:rPr>
            <w:color w:val="0000EE"/>
            <w:u w:val="single"/>
          </w:rPr>
          <w:t>https://www.dagen.no/a/1391643</w:t>
        </w:r>
      </w:hyperlink>
      <w:r>
        <w:t xml:space="preserve"> - This report says Kristiansand Frikirke lost about 30 members in one week and nearly 90 in total after last summer’s split over the church’s stance on same-sex relationships. It names pastor Stein Arve Graarud and links the departures to the national Frikirken’s support for the ‘felleskristen erklæring om kjønns- og seksualitetsmangfold’. It also adds a personal reaction from singer Maria Arredondo, who said she and her family had left the church. The piece broadens the story by showing the dispute was not only theological but also produced a measurable membership outflow and public fallout in a major congregation in Kristiansand.</w:t>
      </w:r>
      <w:r/>
    </w:p>
    <w:p>
      <w:pPr>
        <w:pStyle w:val="ListNumber"/>
        <w:spacing w:line="240" w:lineRule="auto"/>
        <w:ind w:left="720"/>
      </w:pPr>
      <w:r/>
      <w:hyperlink r:id="rId12">
        <w:r>
          <w:rPr>
            <w:color w:val="0000EE"/>
            <w:u w:val="single"/>
          </w:rPr>
          <w:t>https://www.vl.no/religion/90-medlemmer-har-meldt-seg-ut-av-menigheten-siden-i-sommer/9564127</w:t>
        </w:r>
      </w:hyperlink>
      <w:r>
        <w:t xml:space="preserve"> - Vårt Land confirms the same membership losses, but adds that Kristiansand Frikirke had lost 30 members in the previous week and 90 since the summer. It quotes pastor Stein Arve Graarud via Fædrelandsvennen and ties the departures to Frikirken’s national support for the joint Christian declaration on gender and sexuality. This version is useful because it places the local exits into a wider church debate and shows the issue had become public beyond Agder. It adds a clearer chronology and a direct bridge between the local congregation and the denomination’s national decision, helping reconstruct how the story escalated from internal disagreement to visible departures and media attention.</w:t>
      </w:r>
      <w:r/>
    </w:p>
    <w:p>
      <w:pPr>
        <w:pStyle w:val="ListNumber"/>
        <w:spacing w:line="240" w:lineRule="auto"/>
        <w:ind w:left="720"/>
      </w:pPr>
      <w:r/>
      <w:hyperlink r:id="rId11">
        <w:r>
          <w:rPr>
            <w:color w:val="0000EE"/>
            <w:u w:val="single"/>
          </w:rPr>
          <w:t>https://www.dagen.no/nyheter/beskyldt-for-diskriminering-av-skeive-na-har-staten-konkludert/1610863</w:t>
        </w:r>
      </w:hyperlink>
      <w:r>
        <w:t xml:space="preserve"> - This report shifts the focus from theology to allegations of discrimination and state oversight. It says a member of Kristiansand Frikirke filed a concern in November 2024 claiming the church discriminated against queer people by barring them from roles if they lived in a relationship. The article then says the county governor concluded the case 19 months later and cleared the church. That adds a new angle: the church’s teachings were not only causing membership loss, they were also being formally scrutinised by the state. It gives a concrete complaint, a timeline, and the state’s response, which helps rebuild the story’s administrative and legal background.</w:t>
      </w:r>
      <w:r/>
    </w:p>
    <w:p>
      <w:pPr>
        <w:pStyle w:val="ListNumber"/>
        <w:spacing w:line="240" w:lineRule="auto"/>
        <w:ind w:left="720"/>
      </w:pPr>
      <w:r/>
      <w:hyperlink r:id="rId13">
        <w:r>
          <w:rPr>
            <w:color w:val="0000EE"/>
            <w:u w:val="single"/>
          </w:rPr>
          <w:t>https://www.vl.no/religion/vil-ikke-legge-inn-presisering-i-omdiskutert-erklaering/9559489</w:t>
        </w:r>
      </w:hyperlink>
      <w:r>
        <w:t xml:space="preserve"> - Vårt Land reports that Frikirken’s synod council did not want to add clarifications to the controversial joint Christian declaration on gender and sexuality. It says five congregations disagreed with the denomination’s backing of the declaration, while 59 churches and organisations had signed it. This page adds broader denominational context: the dispute was not isolated to Kristiansand but part of a larger church-wide split over whether the declaration should be endorsed and how rigid it should be. It is especially useful for reconstructing the institutional side of the story, because it identifies the number of signatories, the existence of internal dissent, and the fact that Frikirken’s leadership stood by the decision.</w:t>
      </w:r>
      <w:r/>
    </w:p>
    <w:p>
      <w:pPr>
        <w:pStyle w:val="ListNumber"/>
        <w:spacing w:line="240" w:lineRule="auto"/>
        <w:ind w:left="720"/>
      </w:pPr>
      <w:r/>
      <w:hyperlink r:id="rId14">
        <w:r>
          <w:rPr>
            <w:color w:val="0000EE"/>
            <w:u w:val="single"/>
          </w:rPr>
          <w:t>https://www2.bufdir.no/globalassets/global/nbbf/kjonn_identitet/seksuell_orientering_kjonnsmangfold_og_levekar_resultater_fra_sporreundersokelsen_2020.pdf</w:t>
        </w:r>
      </w:hyperlink>
      <w:r>
        <w:t xml:space="preserve"> - This official PDF is the underlying national survey report from the University of Bergen, published in June 2021 for Bufdir. It gives the evidence base for claims about poorer mental health, depression, anxiety, suicidal thoughts and suicide attempts among queer people, compared with heterosexual and cisgender people. It also states that trans people were included for the first time in this kind of study. For the story, this is the primary source behind the article’s health claims and it provides the research framing that the opinion piece uses to argue that religious condemnation can be harmful. It adds methodological and institutional detail that a newspaper account would usually omit, making it important background for rebuilding the story accurately.</w:t>
      </w:r>
      <w:r/>
    </w:p>
    <w:p>
      <w:pPr>
        <w:pStyle w:val="ListNumber"/>
        <w:spacing w:line="240" w:lineRule="auto"/>
        <w:ind w:left="720"/>
      </w:pPr>
      <w:r/>
      <w:hyperlink r:id="rId15">
        <w:r>
          <w:rPr>
            <w:color w:val="0000EE"/>
            <w:u w:val="single"/>
          </w:rPr>
          <w:t>https://www.regjeringen.no/no/tema/tro-og-livssyn/tros-og-livssynssamfunn/innsiktsartikler/antall-tilskuddsberettigede-medlemmer/id631507/</w:t>
        </w:r>
      </w:hyperlink>
      <w:r>
        <w:t xml:space="preserve"> - This official government page explains how state grants for religious and life stance communities are calculated per member, and gives the 2026 rate of 1,611 kroner per member. It directly supports the article’s argument that these congregations are publicly funded and that membership counts matter financially. The page is not about same-sex relations itself, but it provides the mechanism the article criticises: public subsidies based on the number of registered members. That makes it useful background for rebuilding the story from scratch, because it shows exactly how public money flows to registered communities and why a member exodus or internal dissent can have financial consequences.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vn.no/mening/kronikk/o/j0Xzbn/kongstanker-om-kjaerlighet" TargetMode="External"/><Relationship Id="rId10" Type="http://schemas.openxmlformats.org/officeDocument/2006/relationships/hyperlink" Target="https://www.dagen.no/a/1391643" TargetMode="External"/><Relationship Id="rId11" Type="http://schemas.openxmlformats.org/officeDocument/2006/relationships/hyperlink" Target="https://www.dagen.no/nyheter/beskyldt-for-diskriminering-av-skeive-na-har-staten-konkludert/1610863" TargetMode="External"/><Relationship Id="rId12" Type="http://schemas.openxmlformats.org/officeDocument/2006/relationships/hyperlink" Target="https://www.vl.no/religion/90-medlemmer-har-meldt-seg-ut-av-menigheten-siden-i-sommer/9564127" TargetMode="External"/><Relationship Id="rId13" Type="http://schemas.openxmlformats.org/officeDocument/2006/relationships/hyperlink" Target="https://www.vl.no/religion/vil-ikke-legge-inn-presisering-i-omdiskutert-erklaering/9559489" TargetMode="External"/><Relationship Id="rId14" Type="http://schemas.openxmlformats.org/officeDocument/2006/relationships/hyperlink" Target="https://www2.bufdir.no/globalassets/global/nbbf/kjonn_identitet/seksuell_orientering_kjonnsmangfold_og_levekar_resultater_fra_sporreundersokelsen_2020.pdf" TargetMode="External"/><Relationship Id="rId15" Type="http://schemas.openxmlformats.org/officeDocument/2006/relationships/hyperlink" Target="https://www.regjeringen.no/no/tema/tro-og-livssyn/tros-og-livssynssamfunn/innsiktsartikler/antall-tilskuddsberettigede-medlemmer/id6315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