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Love Makes Time Feel Like Survival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invited to consider queer temporality not as an abstract academic idea, but as something felt in the body. In a personal essay, an anthropology graduate reflects on loving a transgender woman while facing grief, political hostility and uncertainty, asking how hope, anger and everyday tenderness can help people keep moving.</w:t>
      </w:r>
      <w:r/>
    </w:p>
    <w:p>
      <w:pPr>
        <w:pStyle w:val="Heading2"/>
      </w:pPr>
      <w:r>
        <w:t>Essential Takeaways</w:t>
      </w:r>
      <w:r/>
      <w:r/>
    </w:p>
    <w:p>
      <w:pPr>
        <w:pStyle w:val="ListBullet"/>
        <w:spacing w:line="240" w:lineRule="auto"/>
        <w:ind w:left="720"/>
      </w:pPr>
      <w:r/>
      <w:r>
        <w:rPr>
          <w:b/>
        </w:rPr>
        <w:t>Time feels physical:</w:t>
      </w:r>
      <w:r>
        <w:t xml:space="preserve"> Fear, grief and love can make the future feel both urgent and unreachable.</w:t>
      </w:r>
      <w:r/>
    </w:p>
    <w:p>
      <w:pPr>
        <w:pStyle w:val="ListBullet"/>
        <w:spacing w:line="240" w:lineRule="auto"/>
        <w:ind w:left="720"/>
      </w:pPr>
      <w:r/>
      <w:r>
        <w:rPr>
          <w:b/>
        </w:rPr>
        <w:t>The data matters:</w:t>
      </w:r>
      <w:r>
        <w:t xml:space="preserve"> UK mortality research points to serious inequalities affecting lesbian, gay and bisexual people.</w:t>
      </w:r>
      <w:r/>
    </w:p>
    <w:p>
      <w:pPr>
        <w:pStyle w:val="ListBullet"/>
        <w:spacing w:line="240" w:lineRule="auto"/>
        <w:ind w:left="720"/>
      </w:pPr>
      <w:r/>
      <w:r>
        <w:rPr>
          <w:b/>
        </w:rPr>
        <w:t>Trans lives are under pressure:</w:t>
      </w:r>
      <w:r>
        <w:t xml:space="preserve"> Legal and political disputes continue to shape access to gender-affirming care.</w:t>
      </w:r>
      <w:r/>
    </w:p>
    <w:p>
      <w:pPr>
        <w:pStyle w:val="ListBullet"/>
        <w:spacing w:line="240" w:lineRule="auto"/>
        <w:ind w:left="720"/>
      </w:pPr>
      <w:r/>
      <w:r>
        <w:rPr>
          <w:b/>
        </w:rPr>
        <w:t>Hope isn't simple:</w:t>
      </w:r>
      <w:r>
        <w:t xml:space="preserve"> It can sit beside despair, anger and exhaustion rather than replacing them.</w:t>
      </w:r>
      <w:r/>
    </w:p>
    <w:p>
      <w:pPr>
        <w:pStyle w:val="ListBullet"/>
        <w:spacing w:line="240" w:lineRule="auto"/>
        <w:ind w:left="720"/>
      </w:pPr>
      <w:r/>
      <w:r>
        <w:rPr>
          <w:b/>
        </w:rPr>
        <w:t>Small moments still count:</w:t>
      </w:r>
      <w:r>
        <w:t xml:space="preserve"> Touch, friendship and joy can create brief pockets of safety and connection.</w:t>
      </w:r>
      <w:r/>
      <w:r/>
    </w:p>
    <w:p>
      <w:pPr>
        <w:pStyle w:val="Heading2"/>
      </w:pPr>
      <w:r>
        <w:t>When love pulls the present apart</w:t>
      </w:r>
      <w:r/>
    </w:p>
    <w:p>
      <w:r/>
      <w:r>
        <w:t>The essay's most striking idea is that time can feel less like a neat sequence and more like motion sickness. Loving someone whose life is shaped by anti-trans hostility means being dragged backwards into history, forwards into fear and sideways into the uncertainty of ordinary life.</w:t>
      </w:r>
      <w:r/>
    </w:p>
    <w:p>
      <w:r/>
      <w:r>
        <w:t>That description lands because the danger isn't presented as a distant political argument. It's felt in the quiet moments: worrying about a partner travelling alone, wondering whether institutions will offer help, or trying to imagine a future that doesn't depend on constant vigilance. The result is an intimate account of anxiety, rather than a detached explanation of queer theory.</w:t>
      </w:r>
      <w:r/>
    </w:p>
    <w:p>
      <w:r/>
      <w:r>
        <w:t>The wider context is grim. Official UK statistics published by the Office for National Statistics examine all-cause and cause-specific mortality by sexual orientation, while reporting on the figures has highlighted stark differences in suicide risk between LGB and straight people. These findings don't describe every trans person's experience, but they underline why fear and grief cannot simply be dismissed as private emotions.</w:t>
      </w:r>
      <w:r/>
    </w:p>
    <w:p>
      <w:pPr>
        <w:pStyle w:val="Heading2"/>
      </w:pPr>
      <w:r>
        <w:t>The personal story sits inside a bigger crisis</w:t>
      </w:r>
      <w:r/>
    </w:p>
    <w:p>
      <w:r/>
      <w:r>
        <w:t>The writer is careful to describe the essay as one person's experience, shaped by her own position as a white, cisgender woman. That self-awareness matters. It avoids presenting a single relationship as a universal account of trans life, while still showing how political pressure reaches people who may not be directly targeted themselves.</w:t>
      </w:r>
      <w:r/>
    </w:p>
    <w:p>
      <w:r/>
      <w:r>
        <w:t>That pressure can come through several routes at once: hostile public debate, lengthy healthcare waits, legal uncertainty and the cumulative exhaustion of having to defend a community's existence. The Good Law Project has drawn attention to deaths among young trans people, while coverage by The Independent has examined concerns around NHS data and the political response to it.</w:t>
      </w:r>
      <w:r/>
    </w:p>
    <w:p>
      <w:r/>
      <w:r>
        <w:t>Meanwhile, the argument over gender-affirming care has become increasingly international. The Associated Press reported on the US Supreme Court's decision to allow Idaho's restrictions on gender-affirming care for transgender minors to take effect while legal challenges continued. For families and couples, these cases can feel less like remote headlines and more like warnings about how quickly access and safety can change.</w:t>
      </w:r>
      <w:r/>
    </w:p>
    <w:p>
      <w:pPr>
        <w:pStyle w:val="Heading2"/>
      </w:pPr>
      <w:r>
        <w:t>Why queer history feels urgently present</w:t>
      </w:r>
      <w:r/>
    </w:p>
    <w:p>
      <w:r/>
      <w:r>
        <w:t>A central thread in the essay is the demand to prove that queer and trans people have always existed. That demand can be exhausting, particularly when historical stories are erased, softened or treated as inconvenient. Remembering becomes more than an academic exercise; it becomes a way of resisting disappearance.</w:t>
      </w:r>
      <w:r/>
    </w:p>
    <w:p>
      <w:r/>
      <w:r>
        <w:t>The essay links that struggle with mourning people lost to violence, illness, neglect and systems that fail to provide timely care. It also points to a painful contradiction: communities are asked to celebrate historical progress while still fighting for basic safety in the present.</w:t>
      </w:r>
      <w:r/>
    </w:p>
    <w:p>
      <w:r/>
      <w:r>
        <w:t>That is why the idea of a queer future feels complicated here. It isn't a glossy promise that everything will work out. Instead, the future appears as something people move towards while carrying fear, anger and memory. Hope survives, but it has to share the room with exhaustion.</w:t>
      </w:r>
      <w:r/>
    </w:p>
    <w:p>
      <w:pPr>
        <w:pStyle w:val="Heading2"/>
      </w:pPr>
      <w:r>
        <w:t>Anger can be useful when optimism feels impossible</w:t>
      </w:r>
      <w:r/>
    </w:p>
    <w:p>
      <w:r/>
      <w:r>
        <w:t>The essay doesn't settle for the familiar instruction to remain hopeful. Sometimes, the writer suggests, anger offers a clearer route through uncertainty. Rage can name injustice, identify what must change and stop suffering from being disguised as an unfortunate inevitability.</w:t>
      </w:r>
      <w:r/>
    </w:p>
    <w:p>
      <w:r/>
      <w:r>
        <w:t>That doesn't make anger easy or harmless. Left unchecked, it can consume energy. But as a political and emotional response, it can also be clarifying, particularly when polite optimism begins to sound like an excuse for inaction.</w:t>
      </w:r>
      <w:r/>
    </w:p>
    <w:p>
      <w:r/>
      <w:r>
        <w:t>The more generous conclusion is that people need more than one emotional language. Joy, rage, grief and hope can all carry information. A quiet evening with friends may offer relief, while anger may supply the energy to challenge a damaging policy. Neither cancels the other out.</w:t>
      </w:r>
      <w:r/>
    </w:p>
    <w:p>
      <w:pPr>
        <w:pStyle w:val="Heading2"/>
      </w:pPr>
      <w:r>
        <w:t>What this means for anthropology and everyday life</w:t>
      </w:r>
      <w:r/>
    </w:p>
    <w:p>
      <w:r/>
      <w:r>
        <w:t>The essay also questions anthropology's traditional image of the calm observer, standing outside the scene and recording what happens. That model becomes difficult to maintain when the researcher's own life is unsettled by love, fear or political crisis.</w:t>
      </w:r>
      <w:r/>
    </w:p>
    <w:p>
      <w:r/>
      <w:r>
        <w:t>There's a practical lesson here for anyone trying to understand another person's experience. Listening doesn't require pretending to be neutral about suffering. It requires recognising where one's own feelings, privileges and fears enter the picture, then being honest about those limits.</w:t>
      </w:r>
      <w:r/>
    </w:p>
    <w:p>
      <w:r/>
      <w:r>
        <w:t>For readers outside anthropology, the message is simpler. Time is not merely something measured by clocks, calendars or official reports. It can be experienced through waiting lists, anniversaries, warnings, memories and the relief of feeling safe beside someone you love. In that sense, the essay's most powerful insight is also its most human: when a loved one's future feels threatened, your own sense of the future changes too.</w:t>
      </w:r>
      <w:r/>
    </w:p>
    <w:p>
      <w:r/>
      <w:r>
        <w:t>It's a reminder that survival can include tenderness, not just endurance.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2">
        <w:r>
          <w:rPr>
            <w:color w:val="0000EE"/>
            <w:u w:val="single"/>
          </w:rPr>
          <w:t>[5]</w:t>
        </w:r>
      </w:hyperlink>
      <w:r>
        <w:t xml:space="preserve">- Paragraph 4: </w:t>
      </w:r>
      <w:hyperlink r:id="rId10">
        <w:r>
          <w:rPr>
            <w:color w:val="0000EE"/>
            <w:u w:val="single"/>
          </w:rPr>
          <w:t>[2]</w:t>
        </w:r>
      </w:hyperlink>
      <w:r>
        <w:t xml:space="preserve">, </w:t>
      </w:r>
      <w:hyperlink r:id="rId15">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4">
        <w:r>
          <w:rPr>
            <w:color w:val="0000EE"/>
            <w:u w:val="single"/>
          </w:rPr>
          <w:t>[7]</w:t>
        </w:r>
      </w:hyperlink>
      <w:r>
        <w:t xml:space="preserve">, </w:t>
      </w:r>
      <w:hyperlink r:id="rId15">
        <w:r>
          <w:rPr>
            <w:color w:val="0000EE"/>
            <w:u w:val="single"/>
          </w:rPr>
          <w:t>[3]</w:t>
        </w:r>
      </w:hyperlink>
      <w:r>
        <w:t xml:space="preserve">- Paragraph 10: </w:t>
      </w:r>
      <w:hyperlink r:id="rId10">
        <w:r>
          <w:rPr>
            <w:color w:val="0000EE"/>
            <w:u w:val="single"/>
          </w:rPr>
          <w:t>[2]</w:t>
        </w:r>
      </w:hyperlink>
      <w:r>
        <w:t xml:space="preserve">, </w:t>
      </w:r>
      <w:hyperlink r:id="rId12">
        <w:r>
          <w:rPr>
            <w:color w:val="0000EE"/>
            <w:u w:val="single"/>
          </w:rPr>
          <w:t>[5]</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5">
        <w:r>
          <w:rPr>
            <w:color w:val="0000EE"/>
            <w:u w:val="single"/>
          </w:rPr>
          <w:t>[3]</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[5]</w:t>
        </w:r>
      </w:hyperlink>
      <w:r>
        <w:t xml:space="preserve">, </w:t>
      </w:r>
      <w:hyperlink r:id="rId13">
        <w:r>
          <w:rPr>
            <w:color w:val="0000EE"/>
            <w:u w:val="single"/>
          </w:rPr>
          <w:t>[6]</w:t>
        </w:r>
      </w:hyperlink>
      <w:r>
        <w:t xml:space="preserve">- Paragraph 15: </w:t>
      </w:r>
      <w:hyperlink r:id="rId14">
        <w:r>
          <w:rPr>
            <w:color w:val="0000EE"/>
            <w:u w:val="single"/>
          </w:rPr>
          <w:t>[7]</w:t>
        </w:r>
      </w:hyperlink>
      <w:r>
        <w:t xml:space="preserve">, </w:t>
      </w:r>
      <w:hyperlink r:id="rId15">
        <w:r>
          <w:rPr>
            <w:color w:val="0000EE"/>
            <w:u w:val="single"/>
          </w:rPr>
          <w:t>[3]</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2">
        <w:r>
          <w:rPr>
            <w:color w:val="0000EE"/>
            <w:u w:val="single"/>
          </w:rPr>
          <w:t>[5]</w:t>
        </w:r>
      </w:hyperlink>
      <w:r>
        <w:t xml:space="preserve">, </w:t>
      </w:r>
      <w:hyperlink r:id="rId13">
        <w:r>
          <w:rPr>
            <w:color w:val="0000EE"/>
            <w:u w:val="single"/>
          </w:rPr>
          <w:t>[6]</w:t>
        </w:r>
      </w:hyperlink>
      <w:r>
        <w:t xml:space="preserve">- Paragraph 18: </w:t>
      </w:r>
      <w:hyperlink r:id="rId15">
        <w:r>
          <w:rPr>
            <w:color w:val="0000EE"/>
            <w:u w:val="single"/>
          </w:rPr>
          <w:t>[3]</w:t>
        </w:r>
      </w:hyperlink>
      <w:r>
        <w:t xml:space="preserve">, </w:t>
      </w:r>
      <w:hyperlink r:id="rId14">
        <w:r>
          <w:rPr>
            <w:color w:val="0000EE"/>
            <w:u w:val="single"/>
          </w:rPr>
          <w:t>[7]</w:t>
        </w:r>
      </w:hyperlink>
      <w:r>
        <w:t xml:space="preserve">- Paragraph 19: </w:t>
      </w:r>
      <w:hyperlink r:id="rId10">
        <w:r>
          <w:rPr>
            <w:color w:val="0000EE"/>
            <w:u w:val="single"/>
          </w:rPr>
          <w:t>[2]</w:t>
        </w:r>
      </w:hyperlink>
      <w:r>
        <w:t xml:space="preserve">, </w:t>
      </w:r>
      <w:hyperlink r:id="rId12">
        <w:r>
          <w:rPr>
            <w:color w:val="0000EE"/>
            <w:u w:val="single"/>
          </w:rPr>
          <w:t>[5]</w:t>
        </w:r>
      </w:hyperlink>
      <w:r>
        <w:t xml:space="preserve">- Paragraph 20: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https://anthropolitan.org/2026/09/06/temporality-and-transgender-love-an-autoethnographic-account/</w:t>
        </w:r>
      </w:hyperlink>
      <w:r>
        <w:t xml:space="preserve"> - Please view link - unable to able to access data</w:t>
      </w:r>
      <w:r/>
    </w:p>
    <w:p>
      <w:pPr>
        <w:pStyle w:val="ListNumber"/>
        <w:spacing w:line="240" w:lineRule="auto"/>
        <w:ind w:left="720"/>
      </w:pPr>
      <w:r/>
      <w:hyperlink r:id="rId10">
        <w:r>
          <w:rPr>
            <w:color w:val="0000EE"/>
            <w:u w:val="single"/>
          </w:rPr>
          <w:t>https://www.ons.gov.uk/peoplepopulationandcommunity/healthandsocialcare/healthinequalities/bulletins/allcauseandcausespecificmortalitybysexualorientationenglandandwales/march2021tonovember2024</w:t>
        </w:r>
      </w:hyperlink>
      <w:r>
        <w:t xml:space="preserve"> - The Office for National Statistics bulletin is the most direct official source behind the article’s reference to mortality by sexual orientation. It sets out the methodology, the March 2021 to November 2024 study window, and the headline findings for all-cause death and cause-specific mortality in England and Wales. It shows that LGB+ adults had a higher age-standardised mortality rate than straight or heterosexual adults, and that the gap was especially pronounced among younger adults. The page also makes clear that this is descriptive analysis and does not establish causation, which qualifies any activist or journalistic claim that links policy changes directly to deaths.</w:t>
      </w:r>
      <w:r/>
    </w:p>
    <w:p>
      <w:pPr>
        <w:pStyle w:val="ListNumber"/>
        <w:spacing w:line="240" w:lineRule="auto"/>
        <w:ind w:left="720"/>
      </w:pPr>
      <w:r/>
      <w:hyperlink r:id="rId15">
        <w:r>
          <w:rPr>
            <w:color w:val="0000EE"/>
            <w:u w:val="single"/>
          </w:rPr>
          <w:t>https://www.gov.uk/government/statistics/all-cause-and-cause-specific-mortality-by-sexual-orientation</w:t>
        </w:r>
      </w:hyperlink>
      <w:r>
        <w:t xml:space="preserve"> - This GOV.UK release is the government landing page for the same ONS mortality statistics. It confirms the publication date, the title, and the broad scope of the analysis, including alcohol-specific deaths, drug-related deaths, cancer deaths and cardiovascular deaths. As a framing source, it is useful because it shows how the statistics were presented officially and not only through news coverage. It is shorter than the ONS bulletin but helps establish provenance and publication date. It also provides a direct document link to the underlying ONS release, which is useful for reconstructing the story from primary material rather than commentary.</w:t>
      </w:r>
      <w:r/>
    </w:p>
    <w:p>
      <w:pPr>
        <w:pStyle w:val="ListNumber"/>
        <w:spacing w:line="240" w:lineRule="auto"/>
        <w:ind w:left="720"/>
      </w:pPr>
      <w:r/>
      <w:hyperlink r:id="rId11">
        <w:r>
          <w:rPr>
            <w:color w:val="0000EE"/>
            <w:u w:val="single"/>
          </w:rPr>
          <w:t>https://www.theguardian.com/society/2026/jan/13/lgb-people-in-uk-much-more-likely-to-take-their-own-lives-than-straight-people</w:t>
        </w:r>
      </w:hyperlink>
      <w:r>
        <w:t xml:space="preserve"> - The Guardian’s report on the ONS analysis turns the official statistics into a story about suicide, drug poisoning and alcohol-related harm among LGB+ adults. It adds direct quotations from the ONS and from a mental-health charity, and it highlights the concentration of suicide within younger age groups. The article is useful because it sets the statistical findings in a wider public-health frame and points to concern from campaigners. It also clarifies that the ONS uses the term LGB+, not LGBTQ+, which matters for interpreting the article’s reference to trans people and queer identity. This is a key secondary source for the same statistical story.</w:t>
      </w:r>
      <w:r/>
    </w:p>
    <w:p>
      <w:pPr>
        <w:pStyle w:val="ListNumber"/>
        <w:spacing w:line="240" w:lineRule="auto"/>
        <w:ind w:left="720"/>
      </w:pPr>
      <w:r/>
      <w:hyperlink r:id="rId12">
        <w:r>
          <w:rPr>
            <w:color w:val="0000EE"/>
            <w:u w:val="single"/>
          </w:rPr>
          <w:t>https://goodlawproject.org/rise-of-deaths-young-trans-people/?su=true</w:t>
        </w:r>
      </w:hyperlink>
      <w:r>
        <w:t xml:space="preserve"> - Good Law Project’s report is the clearest source for the article’s claim that deaths among young trans people rose sharply after the High Court decision on puberty blockers. It alleges, on the basis of whistleblowers, that there was one death of a young person on the GIDS waiting list in the seven years before the High Court decision and 16 in the three years after. The page also refers to internal minutes mentioning seven deaths “in gender”, including three that were “probably suicide”. It is highly relevant because it supplies the activist claim that the essay cites, while also showing the limits of the evidence base and the fact that the breakdown by age is incomplete.</w:t>
      </w:r>
      <w:r/>
    </w:p>
    <w:p>
      <w:pPr>
        <w:pStyle w:val="ListNumber"/>
        <w:spacing w:line="240" w:lineRule="auto"/>
        <w:ind w:left="720"/>
      </w:pPr>
      <w:r/>
      <w:hyperlink r:id="rId13">
        <w:r>
          <w:rPr>
            <w:color w:val="0000EE"/>
            <w:u w:val="single"/>
          </w:rPr>
          <w:t>https://www.independent.co.uk/news/uk/nhs-england-data-good-law-project-wes-streeting-health-secretary-b2582758.html</w:t>
        </w:r>
      </w:hyperlink>
      <w:r>
        <w:t xml:space="preserve"> - The Independent’s piece is useful because it introduces an official rebuttal to the Good Law Project claim. It reports that a review by Professor Michael Appleby, commissioned after Health Secretary Wes Streeting asked for it, did not support the claim of a post-restriction explosion in deaths among young trans people. The article also ties the dispute to NHS England’s internal audit of deaths among GIDS patients from 2018 to 2024, and to the Cass review and the ban on puberty blockers. This adds a major qualification to the story: the activist claim exists, but the available NHS data reportedly does not confirm it.</w:t>
      </w:r>
      <w:r/>
    </w:p>
    <w:p>
      <w:pPr>
        <w:pStyle w:val="ListNumber"/>
        <w:spacing w:line="240" w:lineRule="auto"/>
        <w:ind w:left="720"/>
      </w:pPr>
      <w:r/>
      <w:hyperlink r:id="rId14">
        <w:r>
          <w:rPr>
            <w:color w:val="0000EE"/>
            <w:u w:val="single"/>
          </w:rPr>
          <w:t>https://apnews.com/article/idaho-transgender-affirming-care-supreme-court-f21e62b9ef8b06ed4ecd301bc4531dfd</w:t>
        </w:r>
      </w:hyperlink>
      <w:r>
        <w:t xml:space="preserve"> - This AP report is not about the UK mortality data directly, but it provides valuable background on the healthcare restrictions that are part of the article’s wider trans-temporality and trans-care context. It covers Idaho’s ban on youth gender-affirming care and notes that NHS England has also limited the ability of people younger than 16 to begin medical transition. The story includes a short explanation of the medical and legal landscape, plus a reaction from campaigners who warn of a wider ripple effect. It is a good contextual source because it shows how trans healthcare restrictions were being discussed internationally in 2024, even though it is not a direct duplicate of the article’s main claim.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nthropolitan.org/2026/09/06/temporality-and-transgender-love-an-autoethnographic-account/" TargetMode="External"/><Relationship Id="rId10" Type="http://schemas.openxmlformats.org/officeDocument/2006/relationships/hyperlink" Target="https://www.ons.gov.uk/peoplepopulationandcommunity/healthandsocialcare/healthinequalities/bulletins/allcauseandcausespecificmortalitybysexualorientationenglandandwales/march2021tonovember2024" TargetMode="External"/><Relationship Id="rId11" Type="http://schemas.openxmlformats.org/officeDocument/2006/relationships/hyperlink" Target="https://www.theguardian.com/society/2026/jan/13/lgb-people-in-uk-much-more-likely-to-take-their-own-lives-than-straight-people" TargetMode="External"/><Relationship Id="rId12" Type="http://schemas.openxmlformats.org/officeDocument/2006/relationships/hyperlink" Target="https://goodlawproject.org/rise-of-deaths-young-trans-people/?su=true" TargetMode="External"/><Relationship Id="rId13" Type="http://schemas.openxmlformats.org/officeDocument/2006/relationships/hyperlink" Target="https://www.independent.co.uk/news/uk/nhs-england-data-good-law-project-wes-streeting-health-secretary-b2582758.html" TargetMode="External"/><Relationship Id="rId14" Type="http://schemas.openxmlformats.org/officeDocument/2006/relationships/hyperlink" Target="https://apnews.com/article/idaho-transgender-affirming-care-supreme-court-f21e62b9ef8b06ed4ecd301bc4531dfd" TargetMode="External"/><Relationship Id="rId15" Type="http://schemas.openxmlformats.org/officeDocument/2006/relationships/hyperlink" Target="https://www.gov.uk/government/statistics/all-cause-and-cause-specific-mortality-by-sexual-orient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