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Understand Data Centres and Rising Electricity Demand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questioning whether Finland's fast-growing data-centre sector could push up household electricity bills, while energy experts point to grid capacity and flexible generation as the real pressure points. The debate matters because digital services are expanding quickly, but the cost, reliability and environmental impact of meeting that demand won't disappear with the next quarterly report.</w:t>
      </w:r>
      <w:r/>
    </w:p>
    <w:p>
      <w:pPr>
        <w:pStyle w:val="Heading2"/>
      </w:pPr>
      <w:r>
        <w:t>Essential Takeaways</w:t>
      </w:r>
      <w:r/>
      <w:r/>
    </w:p>
    <w:p>
      <w:pPr>
        <w:pStyle w:val="ListBullet"/>
        <w:spacing w:line="240" w:lineRule="auto"/>
        <w:ind w:left="720"/>
      </w:pPr>
      <w:r/>
      <w:r>
        <w:rPr>
          <w:b/>
        </w:rPr>
        <w:t>Demand is rising:</w:t>
      </w:r>
      <w:r>
        <w:t xml:space="preserve"> Fingrid expects electricity consumption to grow strongly as industry and data services expand.</w:t>
      </w:r>
      <w:r/>
    </w:p>
    <w:p>
      <w:pPr>
        <w:pStyle w:val="ListBullet"/>
        <w:spacing w:line="240" w:lineRule="auto"/>
        <w:ind w:left="720"/>
      </w:pPr>
      <w:r/>
      <w:r>
        <w:rPr>
          <w:b/>
        </w:rPr>
        <w:t>Location matters:</w:t>
      </w:r>
      <w:r>
        <w:t xml:space="preserve"> Placing major users near generation can ease pressure on the transmission grid.</w:t>
      </w:r>
      <w:r/>
    </w:p>
    <w:p>
      <w:pPr>
        <w:pStyle w:val="ListBullet"/>
        <w:spacing w:line="240" w:lineRule="auto"/>
        <w:ind w:left="720"/>
      </w:pPr>
      <w:r/>
      <w:r>
        <w:rPr>
          <w:b/>
        </w:rPr>
        <w:t>Price isn't automatic:</w:t>
      </w:r>
      <w:r>
        <w:t xml:space="preserve"> Data centres don't inevitably raise household bills, but tight supply can make electricity more expensive.</w:t>
      </w:r>
      <w:r/>
    </w:p>
    <w:p>
      <w:pPr>
        <w:pStyle w:val="ListBullet"/>
        <w:spacing w:line="240" w:lineRule="auto"/>
        <w:ind w:left="720"/>
      </w:pPr>
      <w:r/>
      <w:r>
        <w:rPr>
          <w:b/>
        </w:rPr>
        <w:t>Flexibility is crucial:</w:t>
      </w:r>
      <w:r>
        <w:t xml:space="preserve"> Storage, backup generation and demand response can help balance sharp peaks.</w:t>
      </w:r>
      <w:r/>
    </w:p>
    <w:p>
      <w:pPr>
        <w:pStyle w:val="ListBullet"/>
        <w:spacing w:line="240" w:lineRule="auto"/>
        <w:ind w:left="720"/>
      </w:pPr>
      <w:r/>
      <w:r>
        <w:rPr>
          <w:b/>
        </w:rPr>
        <w:t>Waste needs care:</w:t>
      </w:r>
      <w:r>
        <w:t xml:space="preserve"> Separate collection and treatment of food waste can protect energy value and recover nutrients.</w:t>
      </w:r>
      <w:r/>
      <w:r/>
    </w:p>
    <w:p>
      <w:pPr>
        <w:pStyle w:val="Heading2"/>
      </w:pPr>
      <w:r>
        <w:t>Data centres are becoming an electricity story</w:t>
      </w:r>
      <w:r/>
    </w:p>
    <w:p>
      <w:r/>
      <w:r>
        <w:t>The quietest part of a data centre may be its servers, but the electricity demand behind them is anything but small. Finland is attracting energy-intensive digital infrastructure, and the public debate is increasingly moving from technological excitement to a more practical question: who pays when demand accelerates?</w:t>
      </w:r>
      <w:r/>
    </w:p>
    <w:p>
      <w:r/>
      <w:r>
        <w:t>Fingrid says electricity consumption is heading towards strong growth, creating a need for more controllable capacity alongside new generation. That distinction matters. Wind and solar can produce large volumes, but the system also needs power that can respond when demand rises or output falls.</w:t>
      </w:r>
      <w:r/>
    </w:p>
    <w:p>
      <w:r/>
      <w:r>
        <w:t>For households, the concern is understandable. Electricity bills already feel complicated enough without adding another invisible competitor for supply. Still, the effect of data centres depends on how quickly new generation, grid connections and flexibility are built.</w:t>
      </w:r>
      <w:r/>
    </w:p>
    <w:p>
      <w:pPr>
        <w:pStyle w:val="Heading2"/>
      </w:pPr>
      <w:r>
        <w:t>Why location could make a bigger difference than size</w:t>
      </w:r>
      <w:r/>
    </w:p>
    <w:p>
      <w:r/>
      <w:r>
        <w:t>A large industrial customer isn't equally difficult to connect everywhere. Fingrid's research suggests that locating electricity-intensive industry near power production could significantly improve transmission-grid connectivity and reduce the need for long-distance network upgrades.</w:t>
      </w:r>
      <w:r/>
    </w:p>
    <w:p>
      <w:r/>
      <w:r>
        <w:t>That doesn't make geography a magic wand, but it does offer a more sensible starting point than building first and asking questions later. Shorter routes can reduce congestion, while planned connections may make it easier to share infrastructure.</w:t>
      </w:r>
      <w:r/>
    </w:p>
    <w:p>
      <w:r/>
      <w:r>
        <w:t>The choice also affects local communities. A project can bring investment, jobs and tax revenue, but it may also increase competition for land, water and electricity. The best proposals will need to show not only how much power they use, but how neatly they fit into the surrounding energy system.</w:t>
      </w:r>
      <w:r/>
    </w:p>
    <w:p>
      <w:pPr>
        <w:pStyle w:val="Heading2"/>
      </w:pPr>
      <w:r>
        <w:t>Will data centres raise consumers' electricity bills?</w:t>
      </w:r>
      <w:r/>
    </w:p>
    <w:p>
      <w:r/>
      <w:r>
        <w:t>The short answer is: sometimes, but not necessarily in a direct line from server rack to kitchen meter. Vaasan Sähko notes that the decisive issue is often the availability of flexible capacity. If consumption peaks arrive when the system is already tight, wholesale prices can rise.</w:t>
      </w:r>
      <w:r/>
    </w:p>
    <w:p>
      <w:r/>
      <w:r>
        <w:t>That makes timing important. A data centre that can adjust non-urgent computing, use batteries or support the grid during shortages is a different customer from one that demands maximum power at every moment.</w:t>
      </w:r>
      <w:r/>
    </w:p>
    <w:p>
      <w:r/>
      <w:r>
        <w:t>LUT researchers have proposed solutions aimed at handling data centres' substantial electricity needs more intelligently. The broader lesson is simple: efficiency isn't only about using less electricity. It's also about using it at the right time and in the right place.</w:t>
      </w:r>
      <w:r/>
    </w:p>
    <w:p>
      <w:pPr>
        <w:pStyle w:val="Heading2"/>
      </w:pPr>
      <w:r>
        <w:t>The grid needs more than fresh cables</w:t>
      </w:r>
      <w:r/>
    </w:p>
    <w:p>
      <w:r/>
      <w:r>
        <w:t>New transmission lines are part of the answer, but they take time, money and careful planning. Fingrid's outlook underlines the need for additional controllable power as consumption rises, particularly during periods when weather-dependent generation is low.</w:t>
      </w:r>
      <w:r/>
    </w:p>
    <w:p>
      <w:r/>
      <w:r>
        <w:t>That could mean a mixture of storage, demand response, reserve power and improved market signals. None is a perfect replacement for the others. Batteries react quickly, while other forms of capacity can provide longer support, so a resilient system needs several tools in the box.</w:t>
      </w:r>
      <w:r/>
    </w:p>
    <w:p>
      <w:r/>
      <w:r>
        <w:t>This is where political promises meet engineering reality. Cutting through long-term infrastructure planning may look attractive in the short run, but electricity systems punish short-term thinking rather quickly. A dark, expensive winter evening has a way of exposing missing preparation.</w:t>
      </w:r>
      <w:r/>
    </w:p>
    <w:p>
      <w:pPr>
        <w:pStyle w:val="Heading2"/>
      </w:pPr>
      <w:r>
        <w:t>What should customers watch next?</w:t>
      </w:r>
      <w:r/>
    </w:p>
    <w:p>
      <w:r/>
      <w:r>
        <w:t>Consumers should keep an eye on three things: wholesale-price trends, network investment and how new industrial users participate in balancing demand. A headline about a new data centre tells only half the story; the connection agreement, local generation and flexibility arrangements matter just as much.</w:t>
      </w:r>
      <w:r/>
    </w:p>
    <w:p>
      <w:r/>
      <w:r>
        <w:t>The sector also has an opportunity to improve public trust. Clear reporting on electricity use, emissions, water consumption and local benefits would make the discussion less speculative. People are more likely to accept major infrastructure when the trade-offs are visible rather than tucked away in technical language.</w:t>
      </w:r>
      <w:r/>
    </w:p>
    <w:p>
      <w:r/>
      <w:r>
        <w:t>Digital growth isn't going away, and nor should Finland's ambition to attract investment. But the smartest projects will be those that behave like useful members of the energy system, not simply very large plugs in the wall.</w:t>
      </w:r>
      <w:r/>
    </w:p>
    <w:p>
      <w:r/>
      <w:r>
        <w:t>A stronger grid and smarter demand management could make digital growth easier to live with.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0">
        <w:r>
          <w:rPr>
            <w:color w:val="0000EE"/>
            <w:u w:val="single"/>
          </w:rPr>
          <w:t>[4]</w:t>
        </w:r>
      </w:hyperlink>
      <w:r>
        <w:t xml:space="preserve">- Paragraph 3: </w:t>
      </w:r>
      <w:hyperlink r:id="rId12">
        <w:r>
          <w:rPr>
            <w:color w:val="0000EE"/>
            <w:u w:val="single"/>
          </w:rPr>
          <w:t>[5]</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Paragraph 6: </w:t>
      </w:r>
      <w:hyperlink r:id="rId11">
        <w:r>
          <w:rPr>
            <w:color w:val="0000EE"/>
            <w:u w:val="single"/>
          </w:rPr>
          <w:t>[7]</w:t>
        </w:r>
      </w:hyperlink>
      <w:r>
        <w:t xml:space="preserve">- Paragraph 7: </w:t>
      </w:r>
      <w:hyperlink r:id="rId13">
        <w:r>
          <w:rPr>
            <w:color w:val="0000EE"/>
            <w:u w:val="single"/>
          </w:rPr>
          <w:t>[6]</w:t>
        </w:r>
      </w:hyperlink>
      <w:r>
        <w:t xml:space="preserve">- Paragraph 8: </w:t>
      </w:r>
      <w:hyperlink r:id="rId10">
        <w:r>
          <w:rPr>
            <w:color w:val="0000EE"/>
            <w:u w:val="single"/>
          </w:rPr>
          <w:t>[4]</w:t>
        </w:r>
      </w:hyperlink>
      <w:r>
        <w:t xml:space="preserve">, </w:t>
      </w:r>
      <w:hyperlink r:id="rId11">
        <w:r>
          <w:rPr>
            <w:color w:val="0000EE"/>
            <w:u w:val="single"/>
          </w:rPr>
          <w:t>[7]</w:t>
        </w:r>
      </w:hyperlink>
      <w:r>
        <w:t xml:space="preserve">- Paragraph 9: </w:t>
      </w:r>
      <w:hyperlink r:id="rId10">
        <w:r>
          <w:rPr>
            <w:color w:val="0000EE"/>
            <w:u w:val="single"/>
          </w:rPr>
          <w:t>[4]</w:t>
        </w:r>
      </w:hyperlink>
      <w:r>
        <w:t xml:space="preserve">- Paragraph 10: </w:t>
      </w:r>
      <w:hyperlink r:id="rId13">
        <w:r>
          <w:rPr>
            <w:color w:val="0000EE"/>
            <w:u w:val="single"/>
          </w:rPr>
          <w:t>[6]</w:t>
        </w:r>
      </w:hyperlink>
      <w:r>
        <w:t xml:space="preserve">- Paragraph 11: </w:t>
      </w:r>
      <w:hyperlink r:id="rId10">
        <w:r>
          <w:rPr>
            <w:color w:val="0000EE"/>
            <w:u w:val="single"/>
          </w:rPr>
          <w:t>[4]</w:t>
        </w:r>
      </w:hyperlink>
      <w:r>
        <w:t xml:space="preserve">- Paragraph 12: </w:t>
      </w:r>
      <w:hyperlink r:id="rId10">
        <w:r>
          <w:rPr>
            <w:color w:val="0000EE"/>
            <w:u w:val="single"/>
          </w:rPr>
          <w:t>[4]</w:t>
        </w:r>
      </w:hyperlink>
      <w:r>
        <w:t xml:space="preserve">, </w:t>
      </w:r>
      <w:hyperlink r:id="rId12">
        <w:r>
          <w:rPr>
            <w:color w:val="0000EE"/>
            <w:u w:val="single"/>
          </w:rPr>
          <w:t>[5]</w:t>
        </w:r>
      </w:hyperlink>
      <w:r>
        <w:t xml:space="preserve">- Paragraph 13: </w:t>
      </w:r>
      <w:hyperlink r:id="rId10">
        <w:r>
          <w:rPr>
            <w:color w:val="0000EE"/>
            <w:u w:val="single"/>
          </w:rPr>
          <w:t>[4]</w:t>
        </w:r>
      </w:hyperlink>
      <w:r>
        <w:t xml:space="preserve">, </w:t>
      </w:r>
      <w:hyperlink r:id="rId11">
        <w:r>
          <w:rPr>
            <w:color w:val="0000EE"/>
            <w:u w:val="single"/>
          </w:rPr>
          <w:t>[7]</w:t>
        </w:r>
      </w:hyperlink>
      <w:r>
        <w:t xml:space="preserve">- Paragraph 14: </w:t>
      </w:r>
      <w:hyperlink r:id="rId13">
        <w:r>
          <w:rPr>
            <w:color w:val="0000EE"/>
            <w:u w:val="single"/>
          </w:rPr>
          <w:t>[6]</w:t>
        </w:r>
      </w:hyperlink>
      <w:r>
        <w:t xml:space="preserve">, </w:t>
      </w:r>
      <w:hyperlink r:id="rId11">
        <w:r>
          <w:rPr>
            <w:color w:val="0000EE"/>
            <w:u w:val="single"/>
          </w:rPr>
          <w:t>[7]</w:t>
        </w:r>
      </w:hyperlink>
      <w:r>
        <w:t xml:space="preserve">- Paragraph 15: </w:t>
      </w:r>
      <w:hyperlink r:id="rId10">
        <w:r>
          <w:rPr>
            <w:color w:val="0000EE"/>
            <w:u w:val="single"/>
          </w:rPr>
          <w:t>[4]</w:t>
        </w:r>
      </w:hyperlink>
      <w:r>
        <w:t xml:space="preserve">, </w:t>
      </w:r>
      <w:hyperlink r:id="rId12">
        <w:r>
          <w:rPr>
            <w:color w:val="0000EE"/>
            <w:u w:val="single"/>
          </w:rPr>
          <w:t>[5]</w:t>
        </w:r>
      </w:hyperlink>
      <w:r>
        <w:t xml:space="preserve">- Paragraph 16: </w:t>
      </w:r>
      <w:hyperlink r:id="rId10">
        <w:r>
          <w:rPr>
            <w:color w:val="0000EE"/>
            <w:u w:val="single"/>
          </w:rPr>
          <w:t>[4]</w:t>
        </w:r>
      </w:hyperlink>
      <w:r>
        <w:t xml:space="preserve">- Paragraph 17: </w:t>
      </w:r>
      <w:hyperlink r:id="rId12">
        <w:r>
          <w:rPr>
            <w:color w:val="0000EE"/>
            <w:u w:val="single"/>
          </w:rPr>
          <w:t>[5]</w:t>
        </w:r>
      </w:hyperlink>
      <w:r>
        <w:t xml:space="preserve">, </w:t>
      </w:r>
      <w:hyperlink r:id="rId11">
        <w:r>
          <w:rPr>
            <w:color w:val="0000EE"/>
            <w:u w:val="single"/>
          </w:rPr>
          <w:t>[7]</w:t>
        </w:r>
      </w:hyperlink>
      <w:r>
        <w:t xml:space="preserve">- Paragraph 18: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https://www.sss.fi/2026/09/tekstarit-mita-sellaisia-oikeuksia-heteroilta-puuttuu-joita-seksuaali-tai-sukupuolivahemmistoilla-on/</w:t>
        </w:r>
      </w:hyperlink>
      <w:r>
        <w:t xml:space="preserve"> - Please view link - unable to able to access data</w:t>
      </w:r>
      <w:r/>
    </w:p>
    <w:p>
      <w:pPr>
        <w:pStyle w:val="ListNumber"/>
        <w:spacing w:line="240" w:lineRule="auto"/>
        <w:ind w:left="720"/>
      </w:pPr>
      <w:r/>
      <w:hyperlink r:id="rId14">
        <w:r>
          <w:rPr>
            <w:color w:val="0000EE"/>
            <w:u w:val="single"/>
          </w:rPr>
          <w:t>https://yle.fi/a/74-20234255</w:t>
        </w:r>
      </w:hyperlink>
      <w:r>
        <w:t xml:space="preserve"> - This Yle report argues that Finland’s planned wave of datacentre construction could push electricity prices sharply higher, contrary to claims that the risk is minor. It centres on researcher Mika Helenius, who says around 100 datacentre projects are planned, most of the value stays outside Finland, and the grid and balancing power are inadequate for the scale being discussed. It adds a more pessimistic view than the article’s letter pages by quantifying jobs, investment leakage and grid constraints, and by pointing to Ireland as a warning example.</w:t>
      </w:r>
      <w:r/>
    </w:p>
    <w:p>
      <w:pPr>
        <w:pStyle w:val="ListNumber"/>
        <w:spacing w:line="240" w:lineRule="auto"/>
        <w:ind w:left="720"/>
      </w:pPr>
      <w:r/>
      <w:hyperlink r:id="rId15">
        <w:r>
          <w:rPr>
            <w:color w:val="0000EE"/>
            <w:u w:val="single"/>
          </w:rPr>
          <w:t>https://yle.fi/a/74-20232079</w:t>
        </w:r>
      </w:hyperlink>
      <w:r>
        <w:t xml:space="preserve"> - This Yle article adds a security and governance angle: it says datacentre deals can leave municipalities exposed if they do not understand who is really behind the company involved. The main new element is the Finnish Security and Intelligence Service’s warning that foreign-linked datacentre projects may fall through legal gaps, especially when land is leased rather than sold. It moves the story beyond price concerns by focusing on ownership opacity, national-security risks and a planned legal fix. The article also explains how responsibility currently falls on local authorities, not central government.</w:t>
      </w:r>
      <w:r/>
    </w:p>
    <w:p>
      <w:pPr>
        <w:pStyle w:val="ListNumber"/>
        <w:spacing w:line="240" w:lineRule="auto"/>
        <w:ind w:left="720"/>
      </w:pPr>
      <w:r/>
      <w:hyperlink r:id="rId10">
        <w:r>
          <w:rPr>
            <w:color w:val="0000EE"/>
            <w:u w:val="single"/>
          </w:rPr>
          <w:t>https://www.fingrid.fi/ajankohtaista/tiedotteet/2026/sahkonkulutus-on-kaantymassa-voimakkaaseen-kasvuun--rinnalle-tarvitaan-lisaa-saatovoimaa/</w:t>
        </w:r>
      </w:hyperlink>
      <w:r>
        <w:t xml:space="preserve"> - This Fingrid release provides hard numbers on the scale of the datacentre boom and links it directly to Finland’s need for more balancing power. It says signed connection agreements for datacentre projects amount to nearly 5 GW and that electricity consumption could rise by almost 40% if all projects are built. The article adds a system operator’s perspective that the key issue is no longer only generation, but also flexibility, timing and security of supply. It is more concrete than the newspaper coverage because it quantifies the pipeline and names the categories of new load.</w:t>
      </w:r>
      <w:r/>
    </w:p>
    <w:p>
      <w:pPr>
        <w:pStyle w:val="ListNumber"/>
        <w:spacing w:line="240" w:lineRule="auto"/>
        <w:ind w:left="720"/>
      </w:pPr>
      <w:r/>
      <w:hyperlink r:id="rId12">
        <w:r>
          <w:rPr>
            <w:color w:val="0000EE"/>
            <w:u w:val="single"/>
          </w:rPr>
          <w:t>https://www.fingrid.fi/ajankohtaista/tiedotteet/2026/fingridin-selvitys-teollisuuskulutuksen-sijoittuminen-lahelle-sahkontuotantoa-lisaa-kantaverkon-liitettavyytta-merkittavasti/</w:t>
        </w:r>
      </w:hyperlink>
      <w:r>
        <w:t xml:space="preserve"> - This Fingrid study moves the debate from whether datacentres increase demand to where that demand should be located. It says placing large industrial loads closer to generation could significantly improve grid connectability and reduce network costs and land-use impacts. The piece gives a regional system picture: production is concentrated in the west and north, while consumption is concentrated in the south. It adds a planning angle absent from the reader letters by showing that siting decisions can unlock more capacity without endless transmission expansion.</w:t>
      </w:r>
      <w:r/>
    </w:p>
    <w:p>
      <w:pPr>
        <w:pStyle w:val="ListNumber"/>
        <w:spacing w:line="240" w:lineRule="auto"/>
        <w:ind w:left="720"/>
      </w:pPr>
      <w:r/>
      <w:hyperlink r:id="rId13">
        <w:r>
          <w:rPr>
            <w:color w:val="0000EE"/>
            <w:u w:val="single"/>
          </w:rPr>
          <w:t>https://www.lut.fi/fi/uutiset/tutkijat-ehdottavat-uutta-ratkaisua-datakeskusten-valtavaan-sahkontarpeeseen</w:t>
        </w:r>
      </w:hyperlink>
      <w:r>
        <w:t xml:space="preserve"> - This LUT University item proposes a direct policy response: datacentres should be required to build new generating capacity equal to their own consumption. It adds a technical solution rather than just warning about demand growth. The page argues that wind and solar would need to be heavily overbuilt to cover datacentres reliably, and that flexibility, not only more renewables, is essential. It offers an academic counterpoint to claims that datacentres are harmless for the grid.</w:t>
      </w:r>
      <w:r/>
    </w:p>
    <w:p>
      <w:pPr>
        <w:pStyle w:val="ListNumber"/>
        <w:spacing w:line="240" w:lineRule="auto"/>
        <w:ind w:left="720"/>
      </w:pPr>
      <w:r/>
      <w:hyperlink r:id="rId11">
        <w:r>
          <w:rPr>
            <w:color w:val="0000EE"/>
            <w:u w:val="single"/>
          </w:rPr>
          <w:t>https://www.vaasansahko.fi/ajankohtaista/nostavatko-datakeskukset-kuluttajien-sahkonhintaa-saatovoima-on-avainasemassa/</w:t>
        </w:r>
      </w:hyperlink>
      <w:r>
        <w:t xml:space="preserve"> - This Vaasan Sähkö article takes a more reassuring line, arguing that datacentres do not automatically raise consumer prices if generation expands at the same pace. It stresses that the key issue is balancing demand with new supply and enough balancing power. It also adds local-commercial context: datacentres may bring investment, jobs and waste-heat opportunities. Compared with the original article’s complaint about higher prices, this page argues that the market is larger than any single customer group and that the real risk is insufficient flexible generation.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ss.fi/2026/09/tekstarit-mita-sellaisia-oikeuksia-heteroilta-puuttuu-joita-seksuaali-tai-sukupuolivahemmistoilla-on/" TargetMode="External"/><Relationship Id="rId10" Type="http://schemas.openxmlformats.org/officeDocument/2006/relationships/hyperlink" Target="https://www.fingrid.fi/ajankohtaista/tiedotteet/2026/sahkonkulutus-on-kaantymassa-voimakkaaseen-kasvuun--rinnalle-tarvitaan-lisaa-saatovoimaa/" TargetMode="External"/><Relationship Id="rId11" Type="http://schemas.openxmlformats.org/officeDocument/2006/relationships/hyperlink" Target="https://www.vaasansahko.fi/ajankohtaista/nostavatko-datakeskukset-kuluttajien-sahkonhintaa-saatovoima-on-avainasemassa/" TargetMode="External"/><Relationship Id="rId12" Type="http://schemas.openxmlformats.org/officeDocument/2006/relationships/hyperlink" Target="https://www.fingrid.fi/ajankohtaista/tiedotteet/2026/fingridin-selvitys-teollisuuskulutuksen-sijoittuminen-lahelle-sahkontuotantoa-lisaa-kantaverkon-liitettavyytta-merkittavasti/" TargetMode="External"/><Relationship Id="rId13" Type="http://schemas.openxmlformats.org/officeDocument/2006/relationships/hyperlink" Target="https://www.lut.fi/fi/uutiset/tutkijat-ehdottavat-uutta-ratkaisua-datakeskusten-valtavaan-sahkontarpeeseen" TargetMode="External"/><Relationship Id="rId14" Type="http://schemas.openxmlformats.org/officeDocument/2006/relationships/hyperlink" Target="https://yle.fi/a/74-20234255" TargetMode="External"/><Relationship Id="rId15" Type="http://schemas.openxmlformats.org/officeDocument/2006/relationships/hyperlink" Target="https://yle.fi/a/74-2023207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