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Sweden needs a clear ban on conversion practices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are urging Sweden to go further than its new law on psychological violence, arguing that conversion practices targeting LGBTQIA+ people need an explicit ban. The debate matters because these attempts often happen behind closed doors, within families, faith communities and trusted networks, where pressure can be difficult to recognise and even harder to report.</w:t>
      </w:r>
      <w:r/>
    </w:p>
    <w:p>
      <w:pPr>
        <w:pStyle w:val="Heading2"/>
      </w:pPr>
      <w:r>
        <w:t>A new law offers protection, but leaves questions</w:t>
      </w:r>
      <w:r/>
    </w:p>
    <w:p>
      <w:r/>
      <w:r>
        <w:t>Sweden’s updated rules on psychological violence, which came into force on 1 July, have been presented as a possible safeguard for people subjected to conversion practices. The legislation targets repeated insults, controlling behaviour and other forms of psychological abuse, according to Aftonbladet and the Swedish Gender Equality Agency.</w:t>
      </w:r>
      <w:r/>
    </w:p>
    <w:p>
      <w:r/>
      <w:r>
        <w:t>That could help in serious cases, particularly where someone is isolated or repeatedly told that their identity is unacceptable. But it may not cover every conversion attempt. A single incident can be profoundly humiliating and damaging, even when it doesn't form part of a longer pattern.</w:t>
      </w:r>
      <w:r/>
    </w:p>
    <w:p>
      <w:r/>
      <w:r>
        <w:t>The distinction is important. Protection shouldn't depend on someone enduring repeated abuse before the law takes notice.</w:t>
      </w:r>
      <w:r/>
    </w:p>
    <w:p>
      <w:pPr>
        <w:pStyle w:val="Heading2"/>
      </w:pPr>
      <w:r>
        <w:t>What conversion practices actually involve</w:t>
      </w:r>
      <w:r/>
    </w:p>
    <w:p>
      <w:r/>
      <w:r>
        <w:t>Conversion practices aren't legitimate therapy, counselling or neutral guidance. They are attempts to change a person's sexual orientation or gender identity, often by presenting who they are as a problem that needs fixing. RFSL describes the practice as harmful and linked to shame, coercion and discrimination.</w:t>
      </w:r>
      <w:r/>
    </w:p>
    <w:p>
      <w:r/>
      <w:r>
        <w:t>The pressure can come from someone close, such as a parent or relative. It can also involve a religious leader or a person connected with a conservative organisation. That familiarity can make the experience especially difficult to challenge, because the person applying pressure may also control housing, money, social contact or emotional support.</w:t>
      </w:r>
      <w:r/>
    </w:p>
    <w:p>
      <w:r/>
      <w:r>
        <w:t>RFSL has estimated that about one in 20 LGBTQ people in Sweden has experienced conversion practices, while warning that the true figure may be higher. The number is troubling, but the hidden nature of these situations means surveys are unlikely to capture the whole picture.</w:t>
      </w:r>
      <w:r/>
    </w:p>
    <w:p>
      <w:pPr>
        <w:pStyle w:val="Heading2"/>
      </w:pPr>
      <w:r>
        <w:t>Should public money ever support organisations involved?</w:t>
      </w:r>
      <w:r/>
    </w:p>
    <w:p>
      <w:r/>
      <w:r>
        <w:t>Sweden introduced new rules for civil society funding in 2024. Under the framework, public support can be withdrawn when organisations carry out conversion attempts against children. That's a meaningful step, but campaigners argue the principle should apply to adults as well.</w:t>
      </w:r>
      <w:r/>
    </w:p>
    <w:p>
      <w:r/>
      <w:r>
        <w:t>The case for that broader approach is straightforward. Taxpayers shouldn't unknowingly fund organisations that pressure people to reject their identity, regardless of whether the target is a child or an adult. Public funding is meant to support participation and wellbeing, not exclusion dressed up as care.</w:t>
      </w:r>
      <w:r/>
    </w:p>
    <w:p>
      <w:r/>
      <w:r>
        <w:t>There is, however, a familiar counterargument: adults should be free to choose the advice or spiritual guidance they want. Personal autonomy does matter. Yet choice becomes complicated when a person depends on the organisation or individual offering that guidance, particularly where family expectations, faith and social belonging are involved.</w:t>
      </w:r>
      <w:r/>
    </w:p>
    <w:p>
      <w:pPr>
        <w:pStyle w:val="Heading2"/>
      </w:pPr>
      <w:r>
        <w:t>Why an explicit ban could make a difference</w:t>
      </w:r>
      <w:r/>
    </w:p>
    <w:p>
      <w:r/>
      <w:r>
        <w:t>RFSL has welcomed moves towards criminalising conversion practices, while stressing that protection should not be limited to repeated conduct. A specific offence could give victims, police and support services a clearer framework, rather than asking them to fit every case into broader rules on abuse or coercive control.</w:t>
      </w:r>
      <w:r/>
    </w:p>
    <w:p>
      <w:r/>
      <w:r>
        <w:t>Clear wording would also send a strong public message. Conversion practices aren't simply an uncomfortable disagreement about values; they're an effort to undermine a person's dignity and sense of self. That clarity could help professionals recognise warning signs earlier, from demands to attend so-called treatment to pressure to confess, pray or distance oneself from LGBTQ friends.</w:t>
      </w:r>
      <w:r/>
    </w:p>
    <w:p>
      <w:r/>
      <w:r>
        <w:t>No law can solve the problem alone. Training, confidential support and reliable reporting routes still matter, especially for people who fear losing their family or community. But legislation can draw a line where ambiguity has allowed harm to remain hidden.</w:t>
      </w:r>
      <w:r/>
    </w:p>
    <w:p>
      <w:pPr>
        <w:pStyle w:val="Heading2"/>
      </w:pPr>
      <w:r>
        <w:t>Europe needs a stronger response</w:t>
      </w:r>
      <w:r/>
    </w:p>
    <w:p>
      <w:r/>
      <w:r>
        <w:t>The issue extends beyond Sweden. Across Europe, LGBTQIA+ rights remain contested, with anti-LGBTQ rhetoric, exclusionary policies and reports of conversion practices continuing in some countries. RFSL's guidance makes clear that the practice can appear in medical, religious and informal settings, which makes a consistent response difficult but necessary.</w:t>
      </w:r>
      <w:r/>
    </w:p>
    <w:p>
      <w:r/>
      <w:r>
        <w:t>The European Union already links funding and cooperation to democratic standards, but advocates argue it should apply that pressure more firmly when governments restrict minority rights or weaken the rule of law. Cutting state-level funding would be a dramatic measure, so any such mechanism would need careful legal safeguards and a precise threshold.</w:t>
      </w:r>
      <w:r/>
    </w:p>
    <w:p>
      <w:r/>
      <w:r>
        <w:t>Still, the wider point is hard to dismiss. Rights shouldn't depend on where someone happens to live, or on whether the abuse is carried out by a professional, a relative or a faith leader. A liberal society can respect freedom of belief while refusing to legitimise attempts to erase someone else's identity.</w:t>
      </w:r>
      <w:r/>
    </w:p>
    <w:p>
      <w:r/>
      <w:r>
        <w:t>A direct ban wouldn't end every harmful conversation overnight. It could, though, make the standard unmistakable: nobody needs to be cured of being themselves.</w:t>
      </w:r>
      <w:r/>
    </w:p>
    <w:p>
      <w:r/>
      <w:r>
        <w:t>A clear law, backed by support and accountability, would make that principle harder to ignore.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Paragraph 4: </w:t>
      </w:r>
      <w:hyperlink r:id="rId14">
        <w:r>
          <w:rPr>
            <w:color w:val="0000EE"/>
            <w:u w:val="single"/>
          </w:rPr>
          <w:t>[5]</w:t>
        </w:r>
      </w:hyperlink>
      <w:r>
        <w:t xml:space="preserve">- Paragraph 5: </w:t>
      </w:r>
      <w:hyperlink r:id="rId14">
        <w:r>
          <w:rPr>
            <w:color w:val="0000EE"/>
            <w:u w:val="single"/>
          </w:rPr>
          <w:t>[5]</w:t>
        </w:r>
      </w:hyperlink>
      <w:r>
        <w:t xml:space="preserve">, </w:t>
      </w:r>
      <w:hyperlink r:id="rId10">
        <w:r>
          <w:rPr>
            <w:color w:val="0000EE"/>
            <w:u w:val="single"/>
          </w:rPr>
          <w:t>[2]</w:t>
        </w:r>
      </w:hyperlink>
      <w:r>
        <w:t xml:space="preserve">- Paragraph 6: </w:t>
      </w:r>
      <w:hyperlink r:id="rId10">
        <w:r>
          <w:rPr>
            <w:color w:val="0000EE"/>
            <w:u w:val="single"/>
          </w:rPr>
          <w:t>[2]</w:t>
        </w:r>
      </w:hyperlink>
      <w:r>
        <w:t xml:space="preserve">, </w:t>
      </w:r>
      <w:hyperlink r:id="rId13">
        <w:r>
          <w:rPr>
            <w:color w:val="0000EE"/>
            <w:u w:val="single"/>
          </w:rPr>
          <w:t>[3]</w:t>
        </w:r>
      </w:hyperlink>
      <w:r>
        <w:t xml:space="preserve">- Paragraph 7: </w:t>
      </w:r>
      <w:hyperlink r:id="rId10">
        <w:r>
          <w:rPr>
            <w:color w:val="0000EE"/>
            <w:u w:val="single"/>
          </w:rPr>
          <w:t>[2]</w:t>
        </w:r>
      </w:hyperlink>
      <w:r>
        <w:t xml:space="preserve">, </w:t>
      </w:r>
      <w:hyperlink r:id="rId13">
        <w:r>
          <w:rPr>
            <w:color w:val="0000EE"/>
            <w:u w:val="single"/>
          </w:rPr>
          <w:t>[3]</w:t>
        </w:r>
      </w:hyperlink>
      <w:r>
        <w:t xml:space="preserve">- Paragraph 8: </w:t>
      </w:r>
      <w:hyperlink r:id="rId12">
        <w:r>
          <w:rPr>
            <w:color w:val="0000EE"/>
            <w:u w:val="single"/>
          </w:rPr>
          <w:t>[6]</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14">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[3]</w:t>
        </w:r>
      </w:hyperlink>
      <w:r>
        <w:t xml:space="preserve">- Paragraph 12: </w:t>
      </w:r>
      <w:hyperlink r:id="rId14">
        <w:r>
          <w:rPr>
            <w:color w:val="0000EE"/>
            <w:u w:val="single"/>
          </w:rPr>
          <w:t>[5]</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[3]</w:t>
        </w:r>
      </w:hyperlink>
      <w:r>
        <w:t xml:space="preserve">- Paragraph 14: </w:t>
      </w:r>
      <w:hyperlink r:id="rId14">
        <w:r>
          <w:rPr>
            <w:color w:val="0000EE"/>
            <w:u w:val="single"/>
          </w:rPr>
          <w:t>[5]</w:t>
        </w:r>
      </w:hyperlink>
      <w:r>
        <w:t xml:space="preserve">, </w:t>
      </w:r>
      <w:hyperlink r:id="rId10">
        <w:r>
          <w:rPr>
            <w:color w:val="0000EE"/>
            <w:u w:val="single"/>
          </w:rPr>
          <w:t>[2]</w:t>
        </w:r>
      </w:hyperlink>
      <w:r>
        <w:t xml:space="preserve">- Paragraph 15: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https://www.barometern.se/debatt/ska-staten-verkligen-betala-for-att-bota-homosexuella/</w:t>
        </w:r>
      </w:hyperlink>
      <w:r>
        <w:t xml:space="preserve"> - Please view link - unable to able to access data</w:t>
      </w:r>
      <w:r/>
    </w:p>
    <w:p>
      <w:pPr>
        <w:pStyle w:val="ListNumber"/>
        <w:spacing w:line="240" w:lineRule="auto"/>
        <w:ind w:left="720"/>
      </w:pPr>
      <w:r/>
      <w:hyperlink r:id="rId10">
        <w:r>
          <w:rPr>
            <w:color w:val="0000EE"/>
            <w:u w:val="single"/>
          </w:rPr>
          <w:t>https://www.rfsl.se/aktuellt/upprepade-omvandelseforsok-forbjuds-delseger-for-rfsl/</w:t>
        </w:r>
      </w:hyperlink>
      <w:r>
        <w:t xml:space="preserve"> - On 20 May 2026, the Swedish Parliament criminalised repeated conversion therapy attempts by introducing a new offence of psychological abuse in the Penal Code. This law, effective from 1 July 2026, prohibits repeated violations, threats, and controlling behaviours aimed at changing an individual's sexual orientation, gender identity, or gender expression. The Swedish Federation for Lesbian, Gay, Bisexual, Transgender, Queer, and Intersex Rights (RFSL) welcomed this decision, viewing it as a significant step towards protecting LGBTQIA+ individuals from such practices.</w:t>
      </w:r>
      <w:r/>
    </w:p>
    <w:p>
      <w:pPr>
        <w:pStyle w:val="ListNumber"/>
        <w:spacing w:line="240" w:lineRule="auto"/>
        <w:ind w:left="720"/>
      </w:pPr>
      <w:r/>
      <w:hyperlink r:id="rId13">
        <w:r>
          <w:rPr>
            <w:color w:val="0000EE"/>
            <w:u w:val="single"/>
          </w:rPr>
          <w:t>https://www.rfsl.se/aktuellt/omvandelseforsok-ska-forbjudas-rfsl-valkomnar-regeringens-besked/</w:t>
        </w:r>
      </w:hyperlink>
      <w:r>
        <w:t xml:space="preserve"> - On 20 May 2025, the Swedish government proposed making psychological abuse, including conversion therapy attempts, a criminal offence. The proposal defines psychological abuse as repeated acts of insult, undue threats, coercion, or surveillance that seriously harm a person's self-esteem. The law, effective from 1 June 2026, aims to strengthen protection for individuals subjected to such abuse, with the Swedish Federation for Lesbian, Gay, Bisexual, Transgender, Queer, and Intersex Rights (RFSL) welcoming the initiative.</w:t>
      </w:r>
      <w:r/>
    </w:p>
    <w:p>
      <w:pPr>
        <w:pStyle w:val="ListNumber"/>
        <w:spacing w:line="240" w:lineRule="auto"/>
        <w:ind w:left="720"/>
      </w:pPr>
      <w:r/>
      <w:hyperlink r:id="rId11">
        <w:r>
          <w:rPr>
            <w:color w:val="0000EE"/>
            <w:u w:val="single"/>
          </w:rPr>
          <w:t>https://www.aftonbladet.se/nyheter/a/qPa3dL/tidopartierna-vill-kriminalisera-psykiskt-vald</w:t>
        </w:r>
      </w:hyperlink>
      <w:r>
        <w:t xml:space="preserve"> - In a 20 May 2025 article, representatives from the Tidöpartierna coalition advocated for the criminalisation of psychological abuse, including conversion therapy attempts. They proposed introducing a specific offence in the Penal Code, with a maximum penalty of four years in prison, aiming to address the prevalence of psychological abuse, particularly among young people, and to prevent more severe forms of violence.</w:t>
      </w:r>
      <w:r/>
    </w:p>
    <w:p>
      <w:pPr>
        <w:pStyle w:val="ListNumber"/>
        <w:spacing w:line="240" w:lineRule="auto"/>
        <w:ind w:left="720"/>
      </w:pPr>
      <w:r/>
      <w:hyperlink r:id="rId14">
        <w:r>
          <w:rPr>
            <w:color w:val="0000EE"/>
            <w:u w:val="single"/>
          </w:rPr>
          <w:t>https://www.rfsl.se/verksamhet/hat-och-hot/omvandelseterapi-omvandelseforsok/</w:t>
        </w:r>
      </w:hyperlink>
      <w:r>
        <w:t xml:space="preserve"> - The Swedish Federation for Lesbian, Gay, Bisexual, Transgender, Queer, and Intersex Rights (RFSL) defines conversion therapy as attempts to change or suppress an individual's sexual orientation, gender identity, or gender expression through various means, including coercion or pressure. Such practices are distinguished from exploratory therapy, which supports individuals in defining their own identity without judgment. RFSL highlights the harmful nature of conversion therapy and its association with psychological abuse.</w:t>
      </w:r>
      <w:r/>
    </w:p>
    <w:p>
      <w:pPr>
        <w:pStyle w:val="ListNumber"/>
        <w:spacing w:line="240" w:lineRule="auto"/>
        <w:ind w:left="720"/>
      </w:pPr>
      <w:r/>
      <w:hyperlink r:id="rId12">
        <w:r>
          <w:rPr>
            <w:color w:val="0000EE"/>
            <w:u w:val="single"/>
          </w:rPr>
          <w:t>https://jamstalldhetsmyndigheten.se/aktuellt/nyheter/starkt-skydd-mot-psykiskt-vald-nar-ny-lag-trader-i-kraft/</w:t>
        </w:r>
      </w:hyperlink>
      <w:r>
        <w:t xml:space="preserve"> - The Swedish Equality Authority announced that, effective 1 July 2026, a new law will criminalise psychological abuse, including repeated conversion therapy attempts. This legislation aims to strengthen protection for individuals subjected to repeated violations, threats, and controlling behaviours that harm self-esteem. The law is part of Sweden's efforts to prevent and combat violence in close relationships and honour-related oppression.</w:t>
      </w:r>
      <w:r/>
    </w:p>
    <w:p>
      <w:pPr>
        <w:pStyle w:val="ListNumber"/>
        <w:spacing w:line="240" w:lineRule="auto"/>
        <w:ind w:left="720"/>
      </w:pPr>
      <w:r/>
      <w:hyperlink r:id="rId15">
        <w:r>
          <w:rPr>
            <w:color w:val="0000EE"/>
            <w:u w:val="single"/>
          </w:rPr>
          <w:t>https://www.regeringen.se/pressmeddelanden/2026/06/regeringen-ger-uppdrag-for-att-starka-arbetet-mot-hedersrelaterad-brottslighet/</w:t>
        </w:r>
      </w:hyperlink>
      <w:r>
        <w:t xml:space="preserve"> - On 23 June 2026, the Swedish government assigned the Police Authority and the Prosecution Authority to strengthen the investigation and prosecution of crimes related to honour-based violence and oppression. This includes applying the new provision on psychological abuse, effective from 1 July 2026, to better address how such violence manifests, aiming to increase the number of cases leading to charges and convictions.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arometern.se/debatt/ska-staten-verkligen-betala-for-att-bota-homosexuella/" TargetMode="External"/><Relationship Id="rId10" Type="http://schemas.openxmlformats.org/officeDocument/2006/relationships/hyperlink" Target="https://www.rfsl.se/aktuellt/upprepade-omvandelseforsok-forbjuds-delseger-for-rfsl/" TargetMode="External"/><Relationship Id="rId11" Type="http://schemas.openxmlformats.org/officeDocument/2006/relationships/hyperlink" Target="https://www.aftonbladet.se/nyheter/a/qPa3dL/tidopartierna-vill-kriminalisera-psykiskt-vald" TargetMode="External"/><Relationship Id="rId12" Type="http://schemas.openxmlformats.org/officeDocument/2006/relationships/hyperlink" Target="https://jamstalldhetsmyndigheten.se/aktuellt/nyheter/starkt-skydd-mot-psykiskt-vald-nar-ny-lag-trader-i-kraft/" TargetMode="External"/><Relationship Id="rId13" Type="http://schemas.openxmlformats.org/officeDocument/2006/relationships/hyperlink" Target="https://www.rfsl.se/aktuellt/omvandelseforsok-ska-forbjudas-rfsl-valkomnar-regeringens-besked/" TargetMode="External"/><Relationship Id="rId14" Type="http://schemas.openxmlformats.org/officeDocument/2006/relationships/hyperlink" Target="https://www.rfsl.se/verksamhet/hat-och-hot/omvandelseterapi-omvandelseforsok/" TargetMode="External"/><Relationship Id="rId15" Type="http://schemas.openxmlformats.org/officeDocument/2006/relationships/hyperlink" Target="https://www.regeringen.se/pressmeddelanden/2026/06/regeringen-ger-uppdrag-for-att-starka-arbetet-mot-hedersrelaterad-brottsligh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