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South Carolina LGBTQ+ Rights: What Customers Should Know</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LGBTQ+ people in South Carolina may find that their rights change with the postcode. Statewide public-accommodation protections remain limited, while federal law covers employment and housing. Local ordinances in places such as Columbia can add safeguards, making it important to understand the rules before booking a venue, renting a home or challenging unfair treatment.</w:t>
      </w:r>
      <w:r/>
    </w:p>
    <w:p>
      <w:pPr>
        <w:pStyle w:val="Heading2"/>
      </w:pPr>
      <w:r>
        <w:t>Essential Takeaways</w:t>
      </w:r>
      <w:r/>
      <w:r/>
    </w:p>
    <w:p>
      <w:pPr>
        <w:pStyle w:val="ListBullet"/>
        <w:spacing w:line="240" w:lineRule="auto"/>
        <w:ind w:left="720"/>
      </w:pPr>
      <w:r/>
      <w:r>
        <w:rPr>
          <w:b/>
        </w:rPr>
        <w:t>Public accommodation rules vary:</w:t>
      </w:r>
      <w:r>
        <w:t xml:space="preserve"> South Carolina has no broad statewide law covering sexual orientation and gender identity in every customer-facing business.</w:t>
      </w:r>
      <w:r/>
    </w:p>
    <w:p>
      <w:pPr>
        <w:pStyle w:val="ListBullet"/>
        <w:spacing w:line="240" w:lineRule="auto"/>
        <w:ind w:left="720"/>
      </w:pPr>
      <w:r/>
      <w:r>
        <w:rPr>
          <w:b/>
        </w:rPr>
        <w:t>Federal protections still matter:</w:t>
      </w:r>
      <w:r>
        <w:t xml:space="preserve"> Title VII generally protects employees from discrimination, while the Fair Housing Act covers LGBTQ+ discrimination in housing.</w:t>
      </w:r>
      <w:r/>
    </w:p>
    <w:p>
      <w:pPr>
        <w:pStyle w:val="ListBullet"/>
        <w:spacing w:line="240" w:lineRule="auto"/>
        <w:ind w:left="720"/>
      </w:pPr>
      <w:r/>
      <w:r>
        <w:rPr>
          <w:b/>
        </w:rPr>
        <w:t>Local laws can help:</w:t>
      </w:r>
      <w:r>
        <w:t xml:space="preserve"> Columbia has an ordinance offering additional protection within the city.</w:t>
      </w:r>
      <w:r/>
    </w:p>
    <w:p>
      <w:pPr>
        <w:pStyle w:val="ListBullet"/>
        <w:spacing w:line="240" w:lineRule="auto"/>
        <w:ind w:left="720"/>
      </w:pPr>
      <w:r/>
      <w:r>
        <w:rPr>
          <w:b/>
        </w:rPr>
        <w:t>The landscape is changing:</w:t>
      </w:r>
      <w:r>
        <w:t xml:space="preserve"> New legislation and legal disputes continue to shape LGBTQ+ rights across the state and the wider South.</w:t>
      </w:r>
      <w:r/>
    </w:p>
    <w:p>
      <w:pPr>
        <w:pStyle w:val="ListBullet"/>
        <w:spacing w:line="240" w:lineRule="auto"/>
        <w:ind w:left="720"/>
      </w:pPr>
      <w:r/>
      <w:r>
        <w:rPr>
          <w:b/>
        </w:rPr>
        <w:t>Practical checks are worthwhile:</w:t>
      </w:r>
      <w:r>
        <w:t xml:space="preserve"> Before booking an important service, confirm the business's policies and keep records of troubling interactions.</w:t>
      </w:r>
      <w:r/>
      <w:r/>
    </w:p>
    <w:p>
      <w:pPr>
        <w:pStyle w:val="Heading2"/>
      </w:pPr>
      <w:r>
        <w:t>In South Carolina, the postcode can change the answer</w:t>
      </w:r>
      <w:r/>
    </w:p>
    <w:p>
      <w:r/>
      <w:r>
        <w:t>For LGBTQ+ customers, an ordinary transaction can carry an uncomfortable extra calculation. Is this restaurant welcoming? Will that wedding venue accept the booking? Could a photographer refuse to work with a same-sex couple?</w:t>
      </w:r>
      <w:r/>
    </w:p>
    <w:p>
      <w:r/>
      <w:r>
        <w:t>According to the Williams Institute, South Carolina does not have comprehensive statewide protections against discrimination in public accommodations based on sexual orientation or gender identity. In practice, that means the answer may depend on the type of service, the circumstances and whether a local rule applies.</w:t>
      </w:r>
      <w:r/>
    </w:p>
    <w:p>
      <w:r/>
      <w:r>
        <w:t>That gap is easy to miss because protections in one part of life don't automatically transfer to another. A person might have legal protection at work but face a different set of rules when hiring a business for a private event.</w:t>
      </w:r>
      <w:r/>
    </w:p>
    <w:p>
      <w:pPr>
        <w:pStyle w:val="Heading2"/>
      </w:pPr>
      <w:r>
        <w:t>Federal law offers an important safety net</w:t>
      </w:r>
      <w:r/>
    </w:p>
    <w:p>
      <w:r/>
      <w:r>
        <w:t>The picture is less bleak in employment and housing. The Williams Institute explains that federal law protects LGBTQ+ workers from discrimination under Title VII, while the Fair Housing Act generally covers discrimination based on sexual orientation and gender identity.</w:t>
      </w:r>
      <w:r/>
    </w:p>
    <w:p>
      <w:r/>
      <w:r>
        <w:t>Those safeguards matter, particularly for people worried about being dismissed, denied a promotion or refused a home. But they shouldn't be confused with a universal rule requiring every private business to serve every customer in every situation.</w:t>
      </w:r>
      <w:r/>
    </w:p>
    <w:p>
      <w:r/>
      <w:r>
        <w:t>The distinction can feel technical until it affects something personal. A job, a tenancy and a wedding booking may all involve discrimination concerns, but they can fall under different legal frameworks.</w:t>
      </w:r>
      <w:r/>
    </w:p>
    <w:p>
      <w:pPr>
        <w:pStyle w:val="Heading2"/>
      </w:pPr>
      <w:r>
        <w:t>Local protections can make a real difference</w:t>
      </w:r>
      <w:r/>
    </w:p>
    <w:p>
      <w:r/>
      <w:r>
        <w:t>Columbia is one example of how local government can fill part of the gap. Its equal-enjoyment ordinance addresses discrimination in certain public-facing settings, giving residents and visitors protections that aren't available uniformly across the state.</w:t>
      </w:r>
      <w:r/>
    </w:p>
    <w:p>
      <w:r/>
      <w:r>
        <w:t>The Movement Advancement Project's nationwide comparison shows just how uneven these laws can be. Some states have broad protections, while others leave much of the issue to cities, counties or federal law.</w:t>
      </w:r>
      <w:r/>
    </w:p>
    <w:p>
      <w:r/>
      <w:r>
        <w:t>That patchwork is frustratingly practical. Before signing a contract or paying a deposit, check which jurisdiction governs the business and whether a local nondiscrimination ordinance applies there.</w:t>
      </w:r>
      <w:r/>
    </w:p>
    <w:p>
      <w:pPr>
        <w:pStyle w:val="Heading2"/>
      </w:pPr>
      <w:r>
        <w:t>The wider political climate remains unsettled</w:t>
      </w:r>
      <w:r/>
    </w:p>
    <w:p>
      <w:r/>
      <w:r>
        <w:t>Business disputes don't happen in isolation. The ACLU of South Carolina continues to track legislation and policy fights involving LGBTQ+ people, with transgender rights, schools and public facilities among the recurring flashpoints.</w:t>
      </w:r>
      <w:r/>
    </w:p>
    <w:p>
      <w:r/>
      <w:r>
        <w:t>South Carolina's legislative records also show how proposed measures can bring questions about sex, privacy and access into public debate. Meanwhile, the National Conference of State Legislatures notes that public-accommodation laws differ sharply across the country, helping explain why similar incidents can produce very different outcomes from one state to another.</w:t>
      </w:r>
      <w:r/>
    </w:p>
    <w:p>
      <w:r/>
      <w:r>
        <w:t>For customers, the effect is more than legal uncertainty. A steady stream of hostile proposals can make everyday decisions feel tense, even when no one has yet refused service. That's a heavy emotional cost for something as simple as making a booking.</w:t>
      </w:r>
      <w:r/>
    </w:p>
    <w:p>
      <w:pPr>
        <w:pStyle w:val="Heading2"/>
      </w:pPr>
      <w:r>
        <w:t>What should customers do after a refusal?</w:t>
      </w:r>
      <w:r/>
    </w:p>
    <w:p>
      <w:r/>
      <w:r>
        <w:t>Start by recording the basics: the date, business name, staff member, exact words used and any written messages. Keep invoices, emails and booking details, too. A clear timeline is far more useful than a memory clouded by the stress of the moment.</w:t>
      </w:r>
      <w:r/>
    </w:p>
    <w:p>
      <w:r/>
      <w:r>
        <w:t>Next, check whether the incident involved employment, housing or a public-facing service, and whether a city ordinance applies. Organisations such as the ACLU of South Carolina and the Williams Institute can help explain the broader legal landscape, although individual cases may require advice from a qualified solicitor or civil-rights lawyer.</w:t>
      </w:r>
      <w:r/>
    </w:p>
    <w:p>
      <w:r/>
      <w:r>
        <w:t>It's also sensible to ask important suppliers about their inclusion policies before paying a non-refundable deposit. Nobody should have to perform legal research before ordering dinner or planning a celebration, but a quick check can sometimes prevent a far more painful surprise.</w:t>
      </w:r>
      <w:r/>
    </w:p>
    <w:p>
      <w:r/>
      <w:r>
        <w:t>The bottom line is simple: South Carolina's protections aren't consistent, and federal rights don't cover every customer interaction. Knowing the difference can help LGBTQ+ residents and visitors make informed choices while the debate continues.</w:t>
      </w:r>
      <w:r/>
    </w:p>
    <w:p>
      <w:r/>
      <w:r>
        <w:t>A little preparation shouldn't be necessary for equal treatment, but it can offer some control in an uncertain landscape.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0">
        <w:r>
          <w:rPr>
            <w:color w:val="0000EE"/>
            <w:u w:val="single"/>
          </w:rPr>
          <w:t>[2]</w:t>
        </w:r>
      </w:hyperlink>
      <w:r>
        <w:t xml:space="preserve">, </w:t>
      </w:r>
      <w:hyperlink r:id="rId12">
        <w:r>
          <w:rPr>
            <w:color w:val="0000EE"/>
            <w:u w:val="single"/>
          </w:rPr>
          <w:t>[6]</w:t>
        </w:r>
      </w:hyperlink>
      <w:r>
        <w:t xml:space="preserve">- Paragraph 3: </w:t>
      </w:r>
      <w:hyperlink r:id="rId10">
        <w:r>
          <w:rPr>
            <w:color w:val="0000EE"/>
            <w:u w:val="single"/>
          </w:rPr>
          <w:t>[2]</w:t>
        </w:r>
      </w:hyperlink>
      <w:r>
        <w:t xml:space="preserve">, </w:t>
      </w:r>
      <w:hyperlink r:id="rId11">
        <w:r>
          <w:rPr>
            <w:color w:val="0000EE"/>
            <w:u w:val="single"/>
          </w:rPr>
          <w:t>[3]</w:t>
        </w:r>
      </w:hyperlink>
      <w:r>
        <w:t xml:space="preserve">- Paragraph 4: </w:t>
      </w:r>
      <w:hyperlink r:id="rId10">
        <w:r>
          <w:rPr>
            <w:color w:val="0000EE"/>
            <w:u w:val="single"/>
          </w:rPr>
          <w:t>[2]</w:t>
        </w:r>
      </w:hyperlink>
      <w:r>
        <w:t xml:space="preserve">, </w:t>
      </w:r>
      <w:hyperlink r:id="rId13">
        <w:r>
          <w:rPr>
            <w:color w:val="0000EE"/>
            <w:u w:val="single"/>
          </w:rPr>
          <w:t>[5]</w:t>
        </w:r>
      </w:hyperlink>
      <w:r>
        <w:t xml:space="preserve">- Paragraph 5: </w:t>
      </w:r>
      <w:hyperlink r:id="rId14">
        <w:r>
          <w:rPr>
            <w:color w:val="0000EE"/>
            <w:u w:val="single"/>
          </w:rPr>
          <w:t>[7]</w:t>
        </w:r>
      </w:hyperlink>
      <w:r>
        <w:t xml:space="preserve">, </w:t>
      </w:r>
      <w:hyperlink r:id="rId11">
        <w:r>
          <w:rPr>
            <w:color w:val="0000EE"/>
            <w:u w:val="single"/>
          </w:rPr>
          <w:t>[3]</w:t>
        </w:r>
      </w:hyperlink>
      <w:r>
        <w:t xml:space="preserve">- Paragraph 6: </w:t>
      </w:r>
      <w:hyperlink r:id="rId11">
        <w:r>
          <w:rPr>
            <w:color w:val="0000EE"/>
            <w:u w:val="single"/>
          </w:rPr>
          <w:t>[3]</w:t>
        </w:r>
      </w:hyperlink>
      <w:r>
        <w:t xml:space="preserve">, </w:t>
      </w:r>
      <w:hyperlink r:id="rId12">
        <w:r>
          <w:rPr>
            <w:color w:val="0000EE"/>
            <w:u w:val="single"/>
          </w:rPr>
          <w:t>[6]</w:t>
        </w:r>
      </w:hyperlink>
      <w:r>
        <w:t xml:space="preserve">- Paragraph 7: </w:t>
      </w:r>
      <w:hyperlink r:id="rId13">
        <w:r>
          <w:rPr>
            <w:color w:val="0000EE"/>
            <w:u w:val="single"/>
          </w:rPr>
          <w:t>[5]</w:t>
        </w:r>
      </w:hyperlink>
      <w:r>
        <w:t xml:space="preserve">, </w:t>
      </w:r>
      <w:hyperlink r:id="rId15">
        <w:r>
          <w:rPr>
            <w:color w:val="0000EE"/>
            <w:u w:val="single"/>
          </w:rPr>
          <w:t>[4]</w:t>
        </w:r>
      </w:hyperlink>
      <w:r>
        <w:t xml:space="preserve">- Paragraph 8: </w:t>
      </w:r>
      <w:hyperlink r:id="rId15">
        <w:r>
          <w:rPr>
            <w:color w:val="0000EE"/>
            <w:u w:val="single"/>
          </w:rPr>
          <w:t>[4]</w:t>
        </w:r>
      </w:hyperlink>
      <w:r>
        <w:t xml:space="preserve">, </w:t>
      </w:r>
      <w:hyperlink r:id="rId12">
        <w:r>
          <w:rPr>
            <w:color w:val="0000EE"/>
            <w:u w:val="single"/>
          </w:rPr>
          <w:t>[6]</w:t>
        </w:r>
      </w:hyperlink>
      <w:r>
        <w:t xml:space="preserve">- Paragraph 9: </w:t>
      </w:r>
      <w:hyperlink r:id="rId13">
        <w:r>
          <w:rPr>
            <w:color w:val="0000EE"/>
            <w:u w:val="single"/>
          </w:rPr>
          <w:t>[5]</w:t>
        </w:r>
      </w:hyperlink>
      <w:r>
        <w:t xml:space="preserve">, </w:t>
      </w:r>
      <w:hyperlink r:id="rId10">
        <w:r>
          <w:rPr>
            <w:color w:val="0000EE"/>
            <w:u w:val="single"/>
          </w:rPr>
          <w:t>[2]</w:t>
        </w:r>
      </w:hyperlink>
      <w:r>
        <w:t xml:space="preserve">- Paragraph 10: </w:t>
      </w:r>
      <w:hyperlink r:id="rId10">
        <w:r>
          <w:rPr>
            <w:color w:val="0000EE"/>
            <w:u w:val="single"/>
          </w:rPr>
          <w:t>[2]</w:t>
        </w:r>
      </w:hyperlink>
      <w:r>
        <w:t xml:space="preserve">, </w:t>
      </w:r>
      <w:hyperlink r:id="rId13">
        <w:r>
          <w:rPr>
            <w:color w:val="0000EE"/>
            <w:u w:val="single"/>
          </w:rPr>
          <w:t>[5]</w:t>
        </w:r>
      </w:hyperlink>
      <w:r>
        <w:t xml:space="preserve">- Paragraph 11: </w:t>
      </w:r>
      <w:hyperlink r:id="rId10">
        <w:r>
          <w:rPr>
            <w:color w:val="0000EE"/>
            <w:u w:val="single"/>
          </w:rPr>
          <w:t>[2]</w:t>
        </w:r>
      </w:hyperlink>
      <w:r>
        <w:t xml:space="preserve">, </w:t>
      </w:r>
      <w:hyperlink r:id="rId13">
        <w:r>
          <w:rPr>
            <w:color w:val="0000EE"/>
            <w:u w:val="single"/>
          </w:rPr>
          <w:t>[5]</w:t>
        </w:r>
      </w:hyperlink>
      <w:r>
        <w:t xml:space="preserve">- Paragraph 12: </w:t>
      </w:r>
      <w:hyperlink r:id="rId10">
        <w:r>
          <w:rPr>
            <w:color w:val="0000EE"/>
            <w:u w:val="single"/>
          </w:rPr>
          <w:t>[2]</w:t>
        </w:r>
      </w:hyperlink>
      <w:r>
        <w:t xml:space="preserve">, </w:t>
      </w:r>
      <w:hyperlink r:id="rId11">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https://instinctmagazine.com/south-carolina-gay-customers/</w:t>
        </w:r>
      </w:hyperlink>
      <w:r>
        <w:t xml:space="preserve"> - Please view link - unable to able to access data</w:t>
      </w:r>
      <w:r/>
    </w:p>
    <w:p>
      <w:pPr>
        <w:pStyle w:val="ListNumber"/>
        <w:spacing w:line="240" w:lineRule="auto"/>
        <w:ind w:left="720"/>
      </w:pPr>
      <w:r/>
      <w:hyperlink r:id="rId10">
        <w:r>
          <w:rPr>
            <w:color w:val="0000EE"/>
            <w:u w:val="single"/>
          </w:rPr>
          <w:t>https://williamsinstitute.law.ucla.edu/publications/lgbt-discrimination-sc/</w:t>
        </w:r>
      </w:hyperlink>
      <w:r>
        <w:t xml:space="preserve"> - This Williams Institute report is a key background source on the legal gap in South Carolina. It says the state has no statewide law expressly prohibiting discrimination based on sexual orientation or gender identity, leaving LGBT people vulnerable in employment, housing and public accommodations. It also quantifies coverage and lists the local ordinances that do exist. The report gives a useful statewide picture, including estimated LGBT population, poll data on perceived discrimination and support for protections, and the share of adults covered by local rules. It is stronger than the article on scope, numbers and the geography of protection.</w:t>
      </w:r>
      <w:r/>
    </w:p>
    <w:p>
      <w:pPr>
        <w:pStyle w:val="ListNumber"/>
        <w:spacing w:line="240" w:lineRule="auto"/>
        <w:ind w:left="720"/>
      </w:pPr>
      <w:r/>
      <w:hyperlink r:id="rId11">
        <w:r>
          <w:rPr>
            <w:color w:val="0000EE"/>
            <w:u w:val="single"/>
          </w:rPr>
          <w:t>https://mapresearch.org/equality-map/nondiscrimination-laws/</w:t>
        </w:r>
      </w:hyperlink>
      <w:r>
        <w:t xml:space="preserve"> - MAP’s nondiscrimination map gives a concise national legal frame for the South Carolina story. It explains what public accommodation laws cover and shows whether states explicitly protect sexual orientation and gender identity. The page makes clear that many states, including South Carolina, have no explicit state-level public accommodations protections for LGBTQ people. It is especially useful for comparing South Carolina with other states and for understanding the legal meaning of ‘public accommodations’ in restaurants, hotels, shops and similar settings. This source adds authoritative framing rather than a narrative, and helps verify the article’s claim that state law leaves a gap.</w:t>
      </w:r>
      <w:r/>
    </w:p>
    <w:p>
      <w:pPr>
        <w:pStyle w:val="ListNumber"/>
        <w:spacing w:line="240" w:lineRule="auto"/>
        <w:ind w:left="720"/>
      </w:pPr>
      <w:r/>
      <w:hyperlink r:id="rId15">
        <w:r>
          <w:rPr>
            <w:color w:val="0000EE"/>
            <w:u w:val="single"/>
          </w:rPr>
          <w:t>https://www.scstatehouse.gov/billsearch.php?PRINT=1&amp;billnumbers=3738&amp;session=125&amp;summary=B</w:t>
        </w:r>
      </w:hyperlink>
      <w:r>
        <w:t xml:space="preserve"> - This South Carolina Legislature bill page shows what a broad statewide nondiscrimination bill would have changed. It is useful because it names the exact sections that would have been amended, including public accommodations. The bill would have prohibited discrimination in restaurants, hotels, boarding houses and other public places on the basis of sexual orientation and gender identity, while also expanding housing, employment and other protections. It is the clearest primary source for what a comprehensive South Carolina protection would look like. It also helps show that the state has debated this issue in formal legislation, even though the article describes the present law as incomplete.</w:t>
      </w:r>
      <w:r/>
    </w:p>
    <w:p>
      <w:pPr>
        <w:pStyle w:val="ListNumber"/>
        <w:spacing w:line="240" w:lineRule="auto"/>
        <w:ind w:left="720"/>
      </w:pPr>
      <w:r/>
      <w:hyperlink r:id="rId13">
        <w:r>
          <w:rPr>
            <w:color w:val="0000EE"/>
            <w:u w:val="single"/>
          </w:rPr>
          <w:t>https://www.aclusc.org/issues/lgbt-rights/</w:t>
        </w:r>
      </w:hyperlink>
      <w:r>
        <w:t xml:space="preserve"> - The ACLU of South Carolina page is a useful advocacy source on the state’s ongoing legislative fight. It states that South Carolina lawmakers introduce anti-LGBTQ bills year after year, targeting schools, transgender healthcare and laws that protect LGBTQ people from discrimination. The page is less about business service refusal and more about the broader political context that makes the article’s issue relevant. It supports the claim that South Carolina remains an active battleground on LGBTQ rights and offers a current organisational view of what kinds of bills are moving through the legislature.</w:t>
      </w:r>
      <w:r/>
    </w:p>
    <w:p>
      <w:pPr>
        <w:pStyle w:val="ListNumber"/>
        <w:spacing w:line="240" w:lineRule="auto"/>
        <w:ind w:left="720"/>
      </w:pPr>
      <w:r/>
      <w:hyperlink r:id="rId12">
        <w:r>
          <w:rPr>
            <w:color w:val="0000EE"/>
            <w:u w:val="single"/>
          </w:rPr>
          <w:t>https://www.ncsl.org/civil-and-criminal-justice/state-public-accommodation-laws</w:t>
        </w:r>
      </w:hyperlink>
      <w:r>
        <w:t xml:space="preserve"> - NCSL’s state public accommodation laws table is a compact comparative source. It shows which protections each state provides in public accommodations and makes the South Carolina gap easy to verify against other states. The page is valuable for rebuilding the story because it confirms that the issue is not merely local opinion or isolated advocacy: the legal difference between states is codified and trackable. It also helps identify what South Carolina does protect, and what it does not, without relying on a narrative article. This source is most useful as a cross-check and context source rather than as a story source on its own.</w:t>
      </w:r>
      <w:r/>
    </w:p>
    <w:p>
      <w:pPr>
        <w:pStyle w:val="ListNumber"/>
        <w:spacing w:line="240" w:lineRule="auto"/>
        <w:ind w:left="720"/>
      </w:pPr>
      <w:r/>
      <w:hyperlink r:id="rId14">
        <w:r>
          <w:rPr>
            <w:color w:val="0000EE"/>
            <w:u w:val="single"/>
          </w:rPr>
          <w:t>https://citycouncil.columbiasc.gov/wp-content/uploads/2021/01/Ordinance_2008_024-Equal-Enjoyment-and-Privileges.pdf</w:t>
        </w:r>
      </w:hyperlink>
      <w:r>
        <w:t xml:space="preserve"> - Columbia’s 2008 public accommodations ordinance is a direct local-source answer to the article’s point that ZIP code matters. The ordinance says the City of Columbia bans discrimination in public accommodations on the basis of sexual orientation, alongside race, colour, religion, sex, age, national origin, familial status and disability. It defines sexual orientation to include real or perceived heterosexuality, homosexuality, bisexuality, gender identity or expression. This is stronger than a general city page because it shows the exact wording and enforcement model. It also demonstrates that Columbia has had local protections for years, which qualifies any blanket statement about South Carolina as a whole.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instinctmagazine.com/south-carolina-gay-customers/" TargetMode="External"/><Relationship Id="rId10" Type="http://schemas.openxmlformats.org/officeDocument/2006/relationships/hyperlink" Target="https://williamsinstitute.law.ucla.edu/publications/lgbt-discrimination-sc/" TargetMode="External"/><Relationship Id="rId11" Type="http://schemas.openxmlformats.org/officeDocument/2006/relationships/hyperlink" Target="https://mapresearch.org/equality-map/nondiscrimination-laws/" TargetMode="External"/><Relationship Id="rId12" Type="http://schemas.openxmlformats.org/officeDocument/2006/relationships/hyperlink" Target="https://www.ncsl.org/civil-and-criminal-justice/state-public-accommodation-laws" TargetMode="External"/><Relationship Id="rId13" Type="http://schemas.openxmlformats.org/officeDocument/2006/relationships/hyperlink" Target="https://www.aclusc.org/issues/lgbt-rights/" TargetMode="External"/><Relationship Id="rId14" Type="http://schemas.openxmlformats.org/officeDocument/2006/relationships/hyperlink" Target="https://citycouncil.columbiasc.gov/wp-content/uploads/2021/01/Ordinance_2008_024-Equal-Enjoyment-and-Privileges.pdf" TargetMode="External"/><Relationship Id="rId15" Type="http://schemas.openxmlformats.org/officeDocument/2006/relationships/hyperlink" Target="https://www.scstatehouse.gov/billsearch.php?PRINT=1&amp;billnumbers=3738&amp;session=125&amp;summary=B"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