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sexual diversity healthcare guide updates professional care in Uruguay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Health professionals in Uruguay have a newly updated guide to sexual diversity, designed to make consultations more respectful, informed and responsive. Presented at the Ministry of Public Health, the resource reflects changing language, new legal frameworks and growing demand for support among trans children, teenagers and families.</w:t>
      </w:r>
      <w:r/>
    </w:p>
    <w:p>
      <w:pPr>
        <w:pStyle w:val="Heading2"/>
      </w:pPr>
      <w:r>
        <w:t>Essential Takeaways</w:t>
      </w:r>
      <w:r/>
      <w:r/>
    </w:p>
    <w:p>
      <w:pPr>
        <w:pStyle w:val="ListBullet"/>
        <w:spacing w:line="240" w:lineRule="auto"/>
        <w:ind w:left="720"/>
      </w:pPr>
      <w:r/>
      <w:r>
        <w:rPr>
          <w:b/>
        </w:rPr>
        <w:t>A decade of change:</w:t>
      </w:r>
      <w:r>
        <w:t xml:space="preserve"> The guide updates the original training resource with language and concepts that weren't widely used in 2015.</w:t>
      </w:r>
      <w:r/>
    </w:p>
    <w:p>
      <w:pPr>
        <w:pStyle w:val="ListBullet"/>
        <w:spacing w:line="240" w:lineRule="auto"/>
        <w:ind w:left="720"/>
      </w:pPr>
      <w:r/>
      <w:r>
        <w:rPr>
          <w:b/>
        </w:rPr>
        <w:t>Broader support:</w:t>
      </w:r>
      <w:r>
        <w:t xml:space="preserve"> New material covers trans children and adolescents, alongside the needs of LGBTQ+ adults.</w:t>
      </w:r>
      <w:r/>
    </w:p>
    <w:p>
      <w:pPr>
        <w:pStyle w:val="ListBullet"/>
        <w:spacing w:line="240" w:lineRule="auto"/>
        <w:ind w:left="720"/>
      </w:pPr>
      <w:r/>
      <w:r>
        <w:rPr>
          <w:b/>
        </w:rPr>
        <w:t>Legal context included:</w:t>
      </w:r>
      <w:r>
        <w:t xml:space="preserve"> It reflects developments such as Uruguay's 2018 Comprehensive Law for Trans People.</w:t>
      </w:r>
      <w:r/>
    </w:p>
    <w:p>
      <w:pPr>
        <w:pStyle w:val="ListBullet"/>
        <w:spacing w:line="240" w:lineRule="auto"/>
        <w:ind w:left="720"/>
      </w:pPr>
      <w:r/>
      <w:r>
        <w:rPr>
          <w:b/>
        </w:rPr>
        <w:t>Designed for whole teams:</w:t>
      </w:r>
      <w:r>
        <w:t xml:space="preserve"> Doctors, nurses, social workers, receptionists, pharmacy staff and administrators can all benefit.</w:t>
      </w:r>
      <w:r/>
    </w:p>
    <w:p>
      <w:pPr>
        <w:pStyle w:val="ListBullet"/>
        <w:spacing w:line="240" w:lineRule="auto"/>
        <w:ind w:left="720"/>
      </w:pPr>
      <w:r/>
      <w:r>
        <w:rPr>
          <w:b/>
        </w:rPr>
        <w:t>A practical gap remains:</w:t>
      </w:r>
      <w:r>
        <w:t xml:space="preserve"> Training is still often optional, despite repeated calls to make it standard for patient-facing staff.</w:t>
      </w:r>
      <w:r/>
      <w:r/>
    </w:p>
    <w:p>
      <w:pPr>
        <w:pStyle w:val="Heading2"/>
      </w:pPr>
      <w:r>
        <w:t>Uruguay's updated guide meets a changed healthcare reality</w:t>
      </w:r>
      <w:r/>
    </w:p>
    <w:p>
      <w:r/>
      <w:r>
        <w:t>The most important shift is perhaps the simplest: healthcare language has moved on. Uruguay's revised sexual diversity healthcare guide recognises terms and identities that were far less visible in professional training a decade ago, including non-binary people and more nuanced discussions of gender and sexuality.</w:t>
      </w:r>
      <w:r/>
    </w:p>
    <w:p>
      <w:r/>
      <w:r>
        <w:t>Published through collaboration between the Ministry of Public Health, the University of the Republic, Ovejas Negras, the State Health Services Administration and the United Nations Population Fund, the guide turns years of teaching into a practical reference. The Ministry describes it as a resource for professionals working across the health system. (Sources: Ministry of Public Health; Presidency of Uruguay)</w:t>
      </w:r>
      <w:r/>
    </w:p>
    <w:p>
      <w:r/>
      <w:r>
        <w:t>That matters because a consultation can feel welcoming or uncomfortable long before treatment begins. A form, a waiting-room question or an assumption about a partner can quietly tell patients whether they're being seen properly.</w:t>
      </w:r>
      <w:r/>
    </w:p>
    <w:p>
      <w:pPr>
        <w:pStyle w:val="Heading2"/>
      </w:pPr>
      <w:r>
        <w:t>From classroom training to everyday care</w:t>
      </w:r>
      <w:r/>
    </w:p>
    <w:p>
      <w:r/>
      <w:r>
        <w:t>The publication isn't a standalone gesture. It grows out of training that began more than a decade ago, including courses developed by medical and psychology professionals alongside civil society organisations and public health bodies.</w:t>
      </w:r>
      <w:r/>
    </w:p>
    <w:p>
      <w:r/>
      <w:r>
        <w:t>The University of the Republic's Faculty of Psychology has helped develop and maintain the educational strand, while the Faculty of Medicine and health authorities contributed to the wider professional framework. According to the university, the guide brings together knowledge that has been used in teaching and continuing education. (Sources: University of the Republic, Faculty of Psychology; UNFPA Uruguay)</w:t>
      </w:r>
      <w:r/>
    </w:p>
    <w:p>
      <w:r/>
      <w:r>
        <w:t>That history gives the document a useful quality. It's not simply a glossary of terms, but a record of questions that practitioners increasingly encounter in real consultations. In other words, the guide has been shaped by practice, not just policy.</w:t>
      </w:r>
      <w:r/>
    </w:p>
    <w:p>
      <w:pPr>
        <w:pStyle w:val="Heading2"/>
      </w:pPr>
      <w:r>
        <w:t>New chapters reflect demand from younger patients</w:t>
      </w:r>
      <w:r/>
    </w:p>
    <w:p>
      <w:r/>
      <w:r>
        <w:t>One of the clearest additions is a dedicated section on children and adolescents. The need for this support has become more visible as trans young people and their families seek care, advice and reassurance from health services.</w:t>
      </w:r>
      <w:r/>
    </w:p>
    <w:p>
      <w:r/>
      <w:r>
        <w:t>The Ministry's wider work has also highlighted uneven implementation across providers and departments. A national review begun in 2025 examined which diversity-related recommendations were being followed, while visits around the country exposed demand for clearer guidance on supporting younger patients. (Sources: Ministry of Public Health; Presidency of Uruguay)</w:t>
      </w:r>
      <w:r/>
    </w:p>
    <w:p>
      <w:r/>
      <w:r>
        <w:t>This is a particularly sensitive area, where a rushed response can leave families feeling isolated and professionals unsure how to proceed. Practical guidance won't solve every challenge, but it can offer a calmer starting point and help teams avoid treating identity as a problem to be explained away.</w:t>
      </w:r>
      <w:r/>
    </w:p>
    <w:p>
      <w:pPr>
        <w:pStyle w:val="Heading2"/>
      </w:pPr>
      <w:r>
        <w:t>What the guide means for health professionals</w:t>
      </w:r>
      <w:r/>
    </w:p>
    <w:p>
      <w:r/>
      <w:r>
        <w:t>The resource is intended for much more than doctors and nurses. Patient experience is shaped by receptionists, administrative workers, records staff, pharmacists, social workers and anyone else who handles an appointment or conversation.</w:t>
      </w:r>
      <w:r/>
    </w:p>
    <w:p>
      <w:r/>
      <w:r>
        <w:t>That broad approach is important. Even excellent clinical knowledge can be undermined by an incorrect name in a record, an intrusive question or a dismissive tone at the front desk. The guide's value lies partly in making inclusion a shared responsibility rather than the task of one sympathetic specialist. (Sources: Ministry of Public Health; UNFPA Uruguay)</w:t>
      </w:r>
      <w:r/>
    </w:p>
    <w:p>
      <w:r/>
      <w:r>
        <w:t>For providers choosing training materials, the updated edition is especially relevant where staff work with reproductive care, gender-affirming support, mental health, family services or adolescent health. It can also help organisations review forms, referral pathways and internal policies rather than relying on goodwill alone.</w:t>
      </w:r>
      <w:r/>
    </w:p>
    <w:p>
      <w:pPr>
        <w:pStyle w:val="Heading2"/>
      </w:pPr>
      <w:r>
        <w:t>The next challenge is making training routine</w:t>
      </w:r>
      <w:r/>
    </w:p>
    <w:p>
      <w:r/>
      <w:r>
        <w:t>The repeated call from professionals is for this subject to become a standard part of training for people who care for patients, rather than an optional course taken by those already interested. That would move inclusion away from individual champions and into the structure of everyday healthcare.</w:t>
      </w:r>
      <w:r/>
    </w:p>
    <w:p>
      <w:r/>
      <w:r>
        <w:t>The guide is therefore both a practical tool and a progress report. Uruguay has developed laws, training programmes and specialist knowledge, but consistent delivery still depends on how each service puts them into action. Official publications present the update as part of that continuing effort. (Sources: Ministry of Public Health; Presidency of Uruguay; University of the Republic, Faculty of Psychology)</w:t>
      </w:r>
      <w:r/>
    </w:p>
    <w:p>
      <w:r/>
      <w:r>
        <w:t>A good consultation should feel ordinary, not like a patient has had to educate the room before receiving care. This guide brings that goal a little closer, but its real test will be what patients notice at the reception desk, in the records system and during the appointment.</w:t>
      </w:r>
      <w:r/>
    </w:p>
    <w:p>
      <w:r/>
      <w:r>
        <w:t>Small changes in language can make healthcare feel safer, clearer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[7]</w:t>
        </w:r>
      </w:hyperlink>
      <w:r>
        <w:t xml:space="preserve">- Paragraph 6: </w:t>
      </w:r>
      <w:hyperlink r:id="rId11">
        <w:r>
          <w:rPr>
            <w:color w:val="0000EE"/>
            <w:u w:val="single"/>
          </w:rPr>
          <w:t>[3]</w:t>
        </w:r>
      </w:hyperlink>
      <w:r>
        <w:t xml:space="preserve">, </w:t>
      </w:r>
      <w:hyperlink r:id="rId15">
        <w:r>
          <w:rPr>
            <w:color w:val="0000EE"/>
            <w:u w:val="single"/>
          </w:rPr>
          <w:t>[6]</w:t>
        </w:r>
      </w:hyperlink>
      <w:r>
        <w:t xml:space="preserve">- Paragraph 7: </w:t>
      </w:r>
      <w:hyperlink r:id="rId10">
        <w:r>
          <w:rPr>
            <w:color w:val="0000EE"/>
            <w:u w:val="single"/>
          </w:rPr>
          <w:t>[2]</w:t>
        </w:r>
      </w:hyperlink>
      <w:r>
        <w:t xml:space="preserve">, </w:t>
      </w:r>
      <w:hyperlink r:id="rId13">
        <w:r>
          <w:rPr>
            <w:color w:val="0000EE"/>
            <w:u w:val="single"/>
          </w:rPr>
          <w:t>[5]</w:t>
        </w:r>
      </w:hyperlink>
      <w:r>
        <w:t xml:space="preserve">- Paragraph 8: </w:t>
      </w:r>
      <w:hyperlink r:id="rId12">
        <w:r>
          <w:rPr>
            <w:color w:val="0000EE"/>
            <w:u w:val="single"/>
          </w:rPr>
          <w:t>[4]</w:t>
        </w:r>
      </w:hyperlink>
      <w:r>
        <w:t xml:space="preserve">, </w:t>
      </w:r>
      <w:hyperlink r:id="rId15">
        <w:r>
          <w:rPr>
            <w:color w:val="0000EE"/>
            <w:u w:val="single"/>
          </w:rPr>
          <w:t>[6]</w:t>
        </w:r>
      </w:hyperlink>
      <w:r>
        <w:t xml:space="preserve">- Paragraph 9: </w:t>
      </w:r>
      <w:hyperlink r:id="rId10">
        <w:r>
          <w:rPr>
            <w:color w:val="0000EE"/>
            <w:u w:val="single"/>
          </w:rPr>
          <w:t>[2]</w:t>
        </w:r>
      </w:hyperlink>
      <w:r>
        <w:t xml:space="preserve">, </w:t>
      </w:r>
      <w:hyperlink r:id="rId13">
        <w:r>
          <w:rPr>
            <w:color w:val="0000EE"/>
            <w:u w:val="single"/>
          </w:rPr>
          <w:t>[5]</w:t>
        </w:r>
      </w:hyperlink>
      <w:r>
        <w:t xml:space="preserve">- Paragraph 10: </w:t>
      </w:r>
      <w:hyperlink r:id="rId10">
        <w:r>
          <w:rPr>
            <w:color w:val="0000EE"/>
            <w:u w:val="single"/>
          </w:rPr>
          <w:t>[2]</w:t>
        </w:r>
      </w:hyperlink>
      <w:r>
        <w:t xml:space="preserve">, </w:t>
      </w:r>
      <w:hyperlink r:id="rId11">
        <w:r>
          <w:rPr>
            <w:color w:val="0000EE"/>
            <w:u w:val="single"/>
          </w:rPr>
          <w:t>[3]</w:t>
        </w:r>
      </w:hyperlink>
      <w:r>
        <w:t xml:space="preserve">- Paragraph 11: </w:t>
      </w:r>
      <w:hyperlink r:id="rId12">
        <w:r>
          <w:rPr>
            <w:color w:val="0000EE"/>
            <w:u w:val="single"/>
          </w:rPr>
          <w:t>[4]</w:t>
        </w:r>
      </w:hyperlink>
      <w:r>
        <w:t xml:space="preserve">, </w:t>
      </w:r>
      <w:hyperlink r:id="rId13">
        <w:r>
          <w:rPr>
            <w:color w:val="0000EE"/>
            <w:u w:val="single"/>
          </w:rPr>
          <w:t>[5]</w:t>
        </w:r>
      </w:hyperlink>
      <w:r>
        <w:t xml:space="preserve">- Paragraph 12: </w:t>
      </w:r>
      <w:hyperlink r:id="rId10">
        <w:r>
          <w:rPr>
            <w:color w:val="0000EE"/>
            <w:u w:val="single"/>
          </w:rPr>
          <w:t>[2]</w:t>
        </w:r>
      </w:hyperlink>
      <w:r>
        <w:t xml:space="preserve">, </w:t>
      </w:r>
      <w:hyperlink r:id="rId14">
        <w:r>
          <w:rPr>
            <w:color w:val="0000EE"/>
            <w:u w:val="single"/>
          </w:rPr>
          <w:t>[7]</w:t>
        </w:r>
      </w:hyperlink>
      <w:r>
        <w:t xml:space="preserve">- Paragraph 13: </w:t>
      </w:r>
      <w:hyperlink r:id="rId11">
        <w:r>
          <w:rPr>
            <w:color w:val="0000EE"/>
            <w:u w:val="single"/>
          </w:rPr>
          <w:t>[3]</w:t>
        </w:r>
      </w:hyperlink>
      <w:r>
        <w:t xml:space="preserve">, </w:t>
      </w:r>
      <w:hyperlink r:id="rId15">
        <w:r>
          <w:rPr>
            <w:color w:val="0000EE"/>
            <w:u w:val="single"/>
          </w:rPr>
          <w:t>[6]</w:t>
        </w:r>
      </w:hyperlink>
      <w:r>
        <w:t xml:space="preserve">- Paragraph 14: </w:t>
      </w:r>
      <w:hyperlink r:id="rId10">
        <w:r>
          <w:rPr>
            <w:color w:val="0000EE"/>
            <w:u w:val="single"/>
          </w:rPr>
          <w:t>[2]</w:t>
        </w:r>
      </w:hyperlink>
      <w:r>
        <w:t xml:space="preserve">, </w:t>
      </w:r>
      <w:hyperlink r:id="rId11">
        <w:r>
          <w:rPr>
            <w:color w:val="0000EE"/>
            <w:u w:val="single"/>
          </w:rPr>
          <w:t>[3]</w:t>
        </w:r>
      </w:hyperlink>
      <w:r>
        <w:t xml:space="preserve">- Paragraph 15: </w:t>
      </w:r>
      <w:hyperlink r:id="rId12">
        <w:r>
          <w:rPr>
            <w:color w:val="0000EE"/>
            <w:u w:val="single"/>
          </w:rPr>
          <w:t>[4]</w:t>
        </w:r>
      </w:hyperlink>
      <w:r>
        <w:t xml:space="preserve">, </w:t>
      </w:r>
      <w:hyperlink r:id="rId13">
        <w:r>
          <w:rPr>
            <w:color w:val="0000EE"/>
            <w:u w:val="single"/>
          </w:rPr>
          <w:t>[5]</w:t>
        </w:r>
      </w:hyperlink>
      <w:r>
        <w:t xml:space="preserve">- Paragraph 16: </w:t>
      </w:r>
      <w:hyperlink r:id="rId10">
        <w:r>
          <w:rPr>
            <w:color w:val="0000EE"/>
            <w:u w:val="single"/>
          </w:rPr>
          <w:t>[2]</w:t>
        </w:r>
      </w:hyperlink>
      <w:r>
        <w:t xml:space="preserve">, </w:t>
      </w:r>
      <w:hyperlink r:id="rId14">
        <w:r>
          <w:rPr>
            <w:color w:val="0000EE"/>
            <w:u w:val="single"/>
          </w:rPr>
          <w:t>[7]</w:t>
        </w:r>
      </w:hyperlink>
      <w:r>
        <w:t xml:space="preserve">- Paragraph 17: </w:t>
      </w:r>
      <w:hyperlink r:id="rId11">
        <w:r>
          <w:rPr>
            <w:color w:val="0000EE"/>
            <w:u w:val="single"/>
          </w:rPr>
          <w:t>[3]</w:t>
        </w:r>
      </w:hyperlink>
      <w:r>
        <w:t xml:space="preserve">, </w:t>
      </w:r>
      <w:hyperlink r:id="rId15">
        <w:r>
          <w:rPr>
            <w:color w:val="0000EE"/>
            <w:u w:val="single"/>
          </w:rPr>
          <w:t>[6]</w:t>
        </w:r>
      </w:hyperlink>
      <w:r>
        <w:t xml:space="preserve">- Paragraph 18: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https://ladiaria.com.uy/salud/articulo/2026/9/salud-y-diversidad-sexual-se-presento-una-nueva-guia-de-atencion-para-profesionales/</w:t>
        </w:r>
      </w:hyperlink>
      <w:r>
        <w:t xml:space="preserve"> - Please view link - unable to able to access data</w:t>
      </w:r>
      <w:r/>
    </w:p>
    <w:p>
      <w:pPr>
        <w:pStyle w:val="ListNumber"/>
        <w:spacing w:line="240" w:lineRule="auto"/>
        <w:ind w:left="720"/>
      </w:pPr>
      <w:r/>
      <w:hyperlink r:id="rId10">
        <w:r>
          <w:rPr>
            <w:color w:val="0000EE"/>
            <w:u w:val="single"/>
          </w:rPr>
          <w:t>https://www.gub.uy/ministerio-salud-publica/comunicacion/publicaciones/salud-diversidad-sexual-guia-para-profesionales-salud</w:t>
        </w:r>
      </w:hyperlink>
      <w:r>
        <w:t xml:space="preserve"> - The Ministry of Public Health (MSP) in Uruguay has released the 2025 edition of the 'Salud y Diversidad Sexual' guide for healthcare professionals. This updated version incorporates recent legislative changes, including the 2018 Comprehensive Law for Trans Persons, and addresses emerging healthcare needs, such as the differences in care between heterosexual women and lesbian or female same-sex couples. The guide aims to facilitate access to healthcare services for LGBTIQ+ individuals and promote their full exercise of health rights.</w:t>
      </w:r>
      <w:r/>
    </w:p>
    <w:p>
      <w:pPr>
        <w:pStyle w:val="ListNumber"/>
        <w:spacing w:line="240" w:lineRule="auto"/>
        <w:ind w:left="720"/>
      </w:pPr>
      <w:r/>
      <w:hyperlink r:id="rId11">
        <w:r>
          <w:rPr>
            <w:color w:val="0000EE"/>
            <w:u w:val="single"/>
          </w:rPr>
          <w:t>https://www.gub.uy/presidencia/comunicacion/noticias/salud-publica-actualizo-guia-sobre-diversidad-sexual</w:t>
        </w:r>
      </w:hyperlink>
      <w:r>
        <w:t xml:space="preserve"> - On September 3, 2026, the Ministry of Public Health (MSP) presented an updated version of the 'Salud y Diversidad Sexual' guide. This technical document aims to optimise the performance of healthcare teams by adapting its content to current regulations, enhancing the technical training of staff, and adding a chapter dedicated to supporting children and adolescents. The guide serves as a fundamental tool for providing comprehensive and effective responses within the healthcare system.</w:t>
      </w:r>
      <w:r/>
    </w:p>
    <w:p>
      <w:pPr>
        <w:pStyle w:val="ListNumber"/>
        <w:spacing w:line="240" w:lineRule="auto"/>
        <w:ind w:left="720"/>
      </w:pPr>
      <w:r/>
      <w:hyperlink r:id="rId12">
        <w:r>
          <w:rPr>
            <w:color w:val="0000EE"/>
            <w:u w:val="single"/>
          </w:rPr>
          <w:t>https://psico.edu.uy/novedades/salud-y-diversidad-sexual-guia</w:t>
        </w:r>
      </w:hyperlink>
      <w:r>
        <w:t xml:space="preserve"> - The Faculty of Psychology at the University of the Republic in Uruguay has made available the 'Salud y Diversidad Sexual' guide for healthcare professionals. This publication results from the systematisation of a course conducted between 2013 and 2015, aiming to develop competencies in healthcare providers regarding the attention to lesbian, gay, bisexual, and transgender individuals. The guide addresses various topics, including psychological care from a diversity perspective, gynecological care for lesbian and bisexual women, and comprehensive care for transgender individuals.</w:t>
      </w:r>
      <w:r/>
    </w:p>
    <w:p>
      <w:pPr>
        <w:pStyle w:val="ListNumber"/>
        <w:spacing w:line="240" w:lineRule="auto"/>
        <w:ind w:left="720"/>
      </w:pPr>
      <w:r/>
      <w:hyperlink r:id="rId13">
        <w:r>
          <w:rPr>
            <w:color w:val="0000EE"/>
            <w:u w:val="single"/>
          </w:rPr>
          <w:t>https://uruguay.unfpa.org/es/publicaciones/salud-y-diversidad-sexual-una-gu%C3%ADa-para-profesionales</w:t>
        </w:r>
      </w:hyperlink>
      <w:r>
        <w:t xml:space="preserve"> - The United Nations Population Fund (UNFPA) in Uruguay has published the 'Salud y Diversidad Sexual' guide, authored by Gonzalo Gelpi and Florencia Forrisi. This 220-page document compiles the contents of a course conducted between 2013 and 2015, aiming to develop competencies in healthcare professionals for the attention of lesbian, gay, bisexual, and transgender individuals. The guide covers topics such as psychological care from a diversity perspective, gynecological care for lesbian and bisexual women, and comprehensive care for transgender individuals.</w:t>
      </w:r>
      <w:r/>
    </w:p>
    <w:p>
      <w:pPr>
        <w:pStyle w:val="ListNumber"/>
        <w:spacing w:line="240" w:lineRule="auto"/>
        <w:ind w:left="720"/>
      </w:pPr>
      <w:r/>
      <w:hyperlink r:id="rId15">
        <w:r>
          <w:rPr>
            <w:color w:val="0000EE"/>
            <w:u w:val="single"/>
          </w:rPr>
          <w:t>https://www.colibri.udelar.edu.uy/jspui/handle/20.500.12008/20597</w:t>
        </w:r>
      </w:hyperlink>
      <w:r>
        <w:t xml:space="preserve"> - The 'Salud y Diversidad Sexual' guide, published in 2015, is available through the Colibri repository of the University of the Republic in Uruguay. This comprehensive document addresses various aspects of sexual and gender diversity, including basic notions, national and international regulations, sexual and reproductive health rights, and specific care for lesbian, bisexual, and transgender individuals. The guide serves as a valuable resource for healthcare professionals seeking to enhance their understanding and practice in providing inclusive and comprehensive care.</w:t>
      </w:r>
      <w:r/>
    </w:p>
    <w:p>
      <w:pPr>
        <w:pStyle w:val="ListNumber"/>
        <w:spacing w:line="240" w:lineRule="auto"/>
        <w:ind w:left="720"/>
      </w:pPr>
      <w:r/>
      <w:hyperlink r:id="rId14">
        <w:r>
          <w:rPr>
            <w:color w:val="0000EE"/>
            <w:u w:val="single"/>
          </w:rPr>
          <w:t>https://www.gub.uy/comunicacion/publicaciones/salud-y-diversidad-sexual</w:t>
        </w:r>
      </w:hyperlink>
      <w:r>
        <w:t xml:space="preserve"> - The official website of the Republic of Uruguay provides access to the 'Salud y Diversidad Sexual' guide for healthcare professionals. This publication aims to integrate the perspective of sexual diversity into healthcare services, facilitating access for LGBTIQ+ individuals and promoting their full exercise of health rights. The guide is a collaborative effort involving various institutions and organisations, reflecting Uruguay's commitment to inclusive and comprehensive healthcare.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diaria.com.uy/salud/articulo/2026/9/salud-y-diversidad-sexual-se-presento-una-nueva-guia-de-atencion-para-profesionales/" TargetMode="External"/><Relationship Id="rId10" Type="http://schemas.openxmlformats.org/officeDocument/2006/relationships/hyperlink" Target="https://www.gub.uy/ministerio-salud-publica/comunicacion/publicaciones/salud-diversidad-sexual-guia-para-profesionales-salud" TargetMode="External"/><Relationship Id="rId11" Type="http://schemas.openxmlformats.org/officeDocument/2006/relationships/hyperlink" Target="https://www.gub.uy/presidencia/comunicacion/noticias/salud-publica-actualizo-guia-sobre-diversidad-sexual" TargetMode="External"/><Relationship Id="rId12" Type="http://schemas.openxmlformats.org/officeDocument/2006/relationships/hyperlink" Target="https://psico.edu.uy/novedades/salud-y-diversidad-sexual-guia" TargetMode="External"/><Relationship Id="rId13" Type="http://schemas.openxmlformats.org/officeDocument/2006/relationships/hyperlink" Target="https://uruguay.unfpa.org/es/publicaciones/salud-y-diversidad-sexual-una-gu%C3%ADa-para-profesionales" TargetMode="External"/><Relationship Id="rId14" Type="http://schemas.openxmlformats.org/officeDocument/2006/relationships/hyperlink" Target="https://www.gub.uy/comunicacion/publicaciones/salud-y-diversidad-sexual" TargetMode="External"/><Relationship Id="rId15" Type="http://schemas.openxmlformats.org/officeDocument/2006/relationships/hyperlink" Target="https://www.colibri.udelar.edu.uy/jspui/handle/20.500.12008/205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