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LGBTQIA+ workplace discrimination costs Brazil billions each year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striking new estimate puts the annual cost of LGBTQIA+ discrimination in Brazil at close to R$100 billion, while support organisations report that family conflict, unemployment and mental-health pressures remain everyday realities. The figures underline why lasting workplace inclusion matters far beyond annual Pride campaigns.</w:t>
      </w:r>
      <w:r/>
    </w:p>
    <w:p>
      <w:pPr>
        <w:pStyle w:val="Heading2"/>
      </w:pPr>
      <w:r>
        <w:t>The price of exclusion is measured in lost opportunity</w:t>
      </w:r>
      <w:r/>
    </w:p>
    <w:p>
      <w:r/>
      <w:r>
        <w:t xml:space="preserve">The headline figure is difficult to ignore. Research cited by Brazilian public bodies and news outlets estimates that discrimination against LGBTQIA+ people costs the country roughly R$94.4 billion a year through lower wages and restricted access to employment. That means exclusion isn't only a social injustice, but an economic drag felt across the wider workforce. According to Forbes Brasil, barriers still affect both entry into work and the ability to build a stable career. </w:t>
      </w:r>
      <w:hyperlink r:id="rId9">
        <w:r>
          <w:rPr>
            <w:color w:val="0000EE"/>
            <w:u w:val="single"/>
          </w:rPr>
          <w:t>[2]</w:t>
        </w:r>
      </w:hyperlink>
      <w:r>
        <w:t xml:space="preserve">, </w:t>
      </w:r>
      <w:hyperlink r:id="rId10">
        <w:r>
          <w:rPr>
            <w:color w:val="0000EE"/>
            <w:u w:val="single"/>
          </w:rPr>
          <w:t>[3]</w:t>
        </w:r>
      </w:hyperlink>
      <w:r/>
    </w:p>
    <w:p>
      <w:r/>
      <w:r>
        <w:t xml:space="preserve">The loss is also personal. When people are pushed away from formal employment or face hostility at work, they may lose income, confidence and access to professional networks. A labour market that shuts out talent is, frankly, choosing to leave money and potential on the table. </w:t>
      </w:r>
      <w:hyperlink r:id="rId11">
        <w:r>
          <w:rPr>
            <w:color w:val="0000EE"/>
            <w:u w:val="single"/>
          </w:rPr>
          <w:t>[5]</w:t>
        </w:r>
      </w:hyperlink>
      <w:r>
        <w:t xml:space="preserve">, </w:t>
      </w:r>
      <w:hyperlink r:id="rId12">
        <w:r>
          <w:rPr>
            <w:color w:val="0000EE"/>
            <w:u w:val="single"/>
          </w:rPr>
          <w:t>[6]</w:t>
        </w:r>
      </w:hyperlink>
      <w:r/>
    </w:p>
    <w:p>
      <w:pPr>
        <w:pStyle w:val="Heading2"/>
      </w:pPr>
      <w:r>
        <w:t>Family conflict remains a major reason people seek help</w:t>
      </w:r>
      <w:r/>
    </w:p>
    <w:p>
      <w:r/>
      <w:r>
        <w:t xml:space="preserve">At Casarão Brasil, an LGBTQIA+ support organisation in Sao Paulo, family conflict accounted for 46.39% of recorded appointments in 2025. The figure gives the national debate a human face, because discrimination often begins at home before it reaches a classroom, interview room or workplace. </w:t>
      </w:r>
      <w:hyperlink r:id="rId13">
        <w:r>
          <w:rPr>
            <w:color w:val="0000EE"/>
            <w:u w:val="single"/>
          </w:rPr>
          <w:t>[4]</w:t>
        </w:r>
      </w:hyperlink>
      <w:r/>
    </w:p>
    <w:p>
      <w:r/>
      <w:r>
        <w:t xml:space="preserve">Other reported needs included cases without a defined classification, mental-health concerns and unemployment. The mix suggests that vulnerability rarely arrives neatly labelled. Someone seeking help with work may also be dealing with rejection, housing insecurity, violence or isolation at the same time. </w:t>
      </w:r>
      <w:hyperlink r:id="rId13">
        <w:r>
          <w:rPr>
            <w:color w:val="0000EE"/>
            <w:u w:val="single"/>
          </w:rPr>
          <w:t>[4]</w:t>
        </w:r>
      </w:hyperlink>
      <w:r>
        <w:t xml:space="preserve">, </w:t>
      </w:r>
      <w:hyperlink r:id="rId11">
        <w:r>
          <w:rPr>
            <w:color w:val="0000EE"/>
            <w:u w:val="single"/>
          </w:rPr>
          <w:t>[5]</w:t>
        </w:r>
      </w:hyperlink>
      <w:r/>
    </w:p>
    <w:p>
      <w:r/>
      <w:r>
        <w:t xml:space="preserve">Casarão Brasil has worked with the LGBTQIA+ community since 2008 and is marking 18 years of activity in 2026. Its role reflects a broader reality: community organisations often provide the practical bridge between public policy and the person who needs help today, not at some distant point in a strategy document. </w:t>
      </w:r>
      <w:hyperlink r:id="rId13">
        <w:r>
          <w:rPr>
            <w:color w:val="0000EE"/>
            <w:u w:val="single"/>
          </w:rPr>
          <w:t>[4]</w:t>
        </w:r>
      </w:hyperlink>
      <w:r/>
    </w:p>
    <w:p>
      <w:pPr>
        <w:pStyle w:val="Heading2"/>
      </w:pPr>
      <w:r>
        <w:t>Training can turn support into independence</w:t>
      </w:r>
      <w:r/>
    </w:p>
    <w:p>
      <w:r/>
      <w:r>
        <w:t xml:space="preserve">One of the organisation's responses is a basic bakery course developed with Sao Paulo's State Secretariat for Social Development and supported by parliamentary funding. The training covers practical skills alongside confidence-building and workplace preparation, with routes into bakeries, patisseries, food businesses and self-employment. </w:t>
      </w:r>
      <w:hyperlink r:id="rId13">
        <w:r>
          <w:rPr>
            <w:color w:val="0000EE"/>
            <w:u w:val="single"/>
          </w:rPr>
          <w:t>[4]</w:t>
        </w:r>
      </w:hyperlink>
      <w:r/>
    </w:p>
    <w:p>
      <w:r/>
      <w:r>
        <w:t xml:space="preserve">Places prioritise people already receiving support, particularly those facing unemployment, food insecurity or low income. Applicants go through socioeconomic registration and interviews, while the team considers availability, interest and how well the course fits their circumstances. </w:t>
      </w:r>
      <w:hyperlink r:id="rId13">
        <w:r>
          <w:rPr>
            <w:color w:val="0000EE"/>
            <w:u w:val="single"/>
          </w:rPr>
          <w:t>[4]</w:t>
        </w:r>
      </w:hyperlink>
      <w:r/>
    </w:p>
    <w:p>
      <w:r/>
      <w:r>
        <w:t xml:space="preserve">The support doesn't necessarily stop when lessons end. Guidance on job applications, links with employers, help with formalising small businesses and encouragement towards solidarity economy projects can make the difference between completing a course and actually earning from it. A certificate is useful, but a route forward is better. </w:t>
      </w:r>
      <w:hyperlink r:id="rId13">
        <w:r>
          <w:rPr>
            <w:color w:val="0000EE"/>
            <w:u w:val="single"/>
          </w:rPr>
          <w:t>[4]</w:t>
        </w:r>
      </w:hyperlink>
      <w:r/>
    </w:p>
    <w:p>
      <w:pPr>
        <w:pStyle w:val="Heading2"/>
      </w:pPr>
      <w:r>
        <w:t>Why one-off diversity campaigns aren't enough</w:t>
      </w:r>
      <w:r/>
    </w:p>
    <w:p>
      <w:r/>
      <w:r>
        <w:t xml:space="preserve">The economic evidence strengthens the case for treating inclusion as a permanent business issue rather than a seasonal marketing exercise. Studies and official summaries point to salary losses and reduced participation as major parts of the wider cost, while workplace discrimination can keep skilled people from progressing. </w:t>
      </w:r>
      <w:hyperlink r:id="rId10">
        <w:r>
          <w:rPr>
            <w:color w:val="0000EE"/>
            <w:u w:val="single"/>
          </w:rPr>
          <w:t>[3]</w:t>
        </w:r>
      </w:hyperlink>
      <w:r>
        <w:t xml:space="preserve">, </w:t>
      </w:r>
      <w:hyperlink r:id="rId14">
        <w:r>
          <w:rPr>
            <w:color w:val="0000EE"/>
            <w:u w:val="single"/>
          </w:rPr>
          <w:t>[7]</w:t>
        </w:r>
      </w:hyperlink>
      <w:r/>
    </w:p>
    <w:p>
      <w:r/>
      <w:r>
        <w:t xml:space="preserve">Casarão Brasil's leadership has argued that companies often show support during high-visibility periods but need to build lasting policies with organisations that work with LGBTQIA+ people throughout the year. That means clearer recruitment practices, safe reporting channels, manager training and promotion systems that are checked for bias. </w:t>
      </w:r>
      <w:hyperlink r:id="rId13">
        <w:r>
          <w:rPr>
            <w:color w:val="0000EE"/>
            <w:u w:val="single"/>
          </w:rPr>
          <w:t>[4]</w:t>
        </w:r>
      </w:hyperlink>
      <w:r/>
    </w:p>
    <w:p>
      <w:r/>
      <w:r>
        <w:t>The most effective programmes are usually less flashy than a campaign banner. They're the quiet, repeatable systems that help people get hired, stay safe and move onwards.</w:t>
      </w:r>
      <w:r/>
    </w:p>
    <w:p>
      <w:pPr>
        <w:pStyle w:val="Heading2"/>
      </w:pPr>
      <w:r>
        <w:t>What employers and jobseekers should look for</w:t>
      </w:r>
      <w:r/>
    </w:p>
    <w:p>
      <w:r/>
      <w:r>
        <w:t xml:space="preserve">For employers, inclusion should be visible in policy and measurable in practice. Useful checks include recruitment and pay data, retention rates, access to leadership roles, benefits for diverse families and whether complaints are handled independently and promptly. </w:t>
      </w:r>
      <w:hyperlink r:id="rId9">
        <w:r>
          <w:rPr>
            <w:color w:val="0000EE"/>
            <w:u w:val="single"/>
          </w:rPr>
          <w:t>[2]</w:t>
        </w:r>
      </w:hyperlink>
      <w:r>
        <w:t xml:space="preserve">, </w:t>
      </w:r>
      <w:hyperlink r:id="rId10">
        <w:r>
          <w:rPr>
            <w:color w:val="0000EE"/>
            <w:u w:val="single"/>
          </w:rPr>
          <w:t>[3]</w:t>
        </w:r>
      </w:hyperlink>
      <w:r/>
    </w:p>
    <w:p>
      <w:r/>
      <w:r>
        <w:t xml:space="preserve">Jobseekers can look for companies that publish diversity commitments, explain how concerns are reported and show evidence of LGBTQIA+ representation beyond a single month. Employee networks, inclusive benefits and transparent progression criteria are encouraging signs, although they should sit alongside proper protections rather than replace them. </w:t>
      </w:r>
      <w:hyperlink r:id="rId11">
        <w:r>
          <w:rPr>
            <w:color w:val="0000EE"/>
            <w:u w:val="single"/>
          </w:rPr>
          <w:t>[5]</w:t>
        </w:r>
      </w:hyperlink>
      <w:r>
        <w:t xml:space="preserve">, </w:t>
      </w:r>
      <w:hyperlink r:id="rId12">
        <w:r>
          <w:rPr>
            <w:color w:val="0000EE"/>
            <w:u w:val="single"/>
          </w:rPr>
          <w:t>[6]</w:t>
        </w:r>
      </w:hyperlink>
      <w:r/>
    </w:p>
    <w:p>
      <w:r/>
      <w:r>
        <w:t>The wider lesson is straightforward. Investing in skills and fair access doesn't only help LGBTQIA+ workers, it helps businesses find and keep people who might otherwise be pushed out.</w:t>
      </w:r>
      <w:r/>
    </w:p>
    <w:p>
      <w:r/>
      <w:r>
        <w:t>It's a small step from symbolic support to practical inclusion, but it's the step that changes lives.</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[5]</w:t>
        </w:r>
      </w:hyperlink>
      <w:r>
        <w:t xml:space="preserve">, </w:t>
      </w:r>
      <w:hyperlink r:id="rId12">
        <w:r>
          <w:rPr>
            <w:color w:val="0000EE"/>
            <w:u w:val="single"/>
          </w:rPr>
          <w:t>[6]</w:t>
        </w:r>
      </w:hyperlink>
      <w:r>
        <w:t xml:space="preserve">- Paragraph 3: </w:t>
      </w:r>
      <w:hyperlink r:id="rId13">
        <w:r>
          <w:rPr>
            <w:color w:val="0000EE"/>
            <w:u w:val="single"/>
          </w:rPr>
          <w:t>[4]</w:t>
        </w:r>
      </w:hyperlink>
      <w:r>
        <w:t xml:space="preserve">- Paragraph 4: </w:t>
      </w:r>
      <w:hyperlink r:id="rId13">
        <w:r>
          <w:rPr>
            <w:color w:val="0000EE"/>
            <w:u w:val="single"/>
          </w:rPr>
          <w:t>[4]</w:t>
        </w:r>
      </w:hyperlink>
      <w:r>
        <w:t xml:space="preserve">, </w:t>
      </w:r>
      <w:hyperlink r:id="rId11">
        <w:r>
          <w:rPr>
            <w:color w:val="0000EE"/>
            <w:u w:val="single"/>
          </w:rPr>
          <w:t>[5]</w:t>
        </w:r>
      </w:hyperlink>
      <w:r>
        <w:t xml:space="preserve">- Paragraph 5: </w:t>
      </w:r>
      <w:hyperlink r:id="rId13">
        <w:r>
          <w:rPr>
            <w:color w:val="0000EE"/>
            <w:u w:val="single"/>
          </w:rPr>
          <w:t>[4]</w:t>
        </w:r>
      </w:hyperlink>
      <w:r>
        <w:t xml:space="preserve">- Paragraph 6: </w:t>
      </w:r>
      <w:hyperlink r:id="rId13">
        <w:r>
          <w:rPr>
            <w:color w:val="0000EE"/>
            <w:u w:val="single"/>
          </w:rPr>
          <w:t>[4]</w:t>
        </w:r>
      </w:hyperlink>
      <w:r>
        <w:t xml:space="preserve">- Paragraph 7: </w:t>
      </w:r>
      <w:hyperlink r:id="rId13">
        <w:r>
          <w:rPr>
            <w:color w:val="0000EE"/>
            <w:u w:val="single"/>
          </w:rPr>
          <w:t>[4]</w:t>
        </w:r>
      </w:hyperlink>
      <w:r>
        <w:t xml:space="preserve">- Paragraph 8: </w:t>
      </w:r>
      <w:hyperlink r:id="rId10">
        <w:r>
          <w:rPr>
            <w:color w:val="0000EE"/>
            <w:u w:val="single"/>
          </w:rPr>
          <w:t>[3]</w:t>
        </w:r>
      </w:hyperlink>
      <w:r>
        <w:t xml:space="preserve">, </w:t>
      </w:r>
      <w:hyperlink r:id="rId14">
        <w:r>
          <w:rPr>
            <w:color w:val="0000EE"/>
            <w:u w:val="single"/>
          </w:rPr>
          <w:t>[7]</w:t>
        </w:r>
      </w:hyperlink>
      <w:r>
        <w:t xml:space="preserve">- Paragraph 9: </w:t>
      </w:r>
      <w:hyperlink r:id="rId13">
        <w:r>
          <w:rPr>
            <w:color w:val="0000EE"/>
            <w:u w:val="single"/>
          </w:rPr>
          <w:t>[4]</w:t>
        </w:r>
      </w:hyperlink>
      <w:r>
        <w:t xml:space="preserve">- Paragraph 10: </w:t>
      </w:r>
      <w:hyperlink r:id="rId9">
        <w:r>
          <w:rPr>
            <w:color w:val="0000EE"/>
            <w:u w:val="single"/>
          </w:rPr>
          <w:t>[2]</w:t>
        </w:r>
      </w:hyperlink>
      <w:r>
        <w:t xml:space="preserve">, </w:t>
      </w:r>
      <w:hyperlink r:id="rId10">
        <w:r>
          <w:rPr>
            <w:color w:val="0000EE"/>
            <w:u w:val="single"/>
          </w:rPr>
          <w:t>[3]</w:t>
        </w:r>
      </w:hyperlink>
      <w:r>
        <w:t xml:space="preserve">- Paragraph 11: </w:t>
      </w:r>
      <w:hyperlink r:id="rId11">
        <w:r>
          <w:rPr>
            <w:color w:val="0000EE"/>
            <w:u w:val="single"/>
          </w:rPr>
          <w:t>[5]</w:t>
        </w:r>
      </w:hyperlink>
      <w:r>
        <w:t xml:space="preserve">, </w:t>
      </w:r>
      <w:hyperlink r:id="rId12">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http://acontecesantyago.blogspot.com/2026/09/discriminacao-lgbtqia-gera-prejuizo.html</w:t>
        </w:r>
      </w:hyperlink>
      <w:r>
        <w:t xml:space="preserve"> - Please view link - unable to able to access data</w:t>
      </w:r>
      <w:r/>
    </w:p>
    <w:p>
      <w:pPr>
        <w:pStyle w:val="ListNumber"/>
        <w:spacing w:line="240" w:lineRule="auto"/>
        <w:ind w:left="720"/>
      </w:pPr>
      <w:r/>
      <w:hyperlink r:id="rId9">
        <w:r>
          <w:rPr>
            <w:color w:val="0000EE"/>
            <w:u w:val="single"/>
          </w:rPr>
          <w:t>https://forbes.com.br/forbes-money/2026/07/exclusao-lgbti-trabalho/</w:t>
        </w:r>
      </w:hyperlink>
      <w:r>
        <w:t xml:space="preserve"> - A Forbes article discusses a study by the World Bank revealing that the exclusion of LGBTI+ individuals from the workforce costs Brazil approximately R$ 94.4 billion annually, equivalent to 0.8% of the country's GDP. The study highlights the significant economic impact of discrimination, including increased unemployment rates among LGBTI+ individuals and reduced productivity. The article emphasizes the need for inclusive policies to mitigate these economic losses and promote a more equitable labour market.</w:t>
      </w:r>
      <w:r/>
    </w:p>
    <w:p>
      <w:pPr>
        <w:pStyle w:val="ListNumber"/>
        <w:spacing w:line="240" w:lineRule="auto"/>
        <w:ind w:left="720"/>
      </w:pPr>
      <w:r/>
      <w:hyperlink r:id="rId10">
        <w:r>
          <w:rPr>
            <w:color w:val="0000EE"/>
            <w:u w:val="single"/>
          </w:rPr>
          <w:t>https://portal.trt11.jus.br/index.php/comunicacao/11490-discriminacao-contra-lgbti-no-mercado-de-trabalho-brasileiro-gera-perdas-salariais-de-r-94-4-bilhoes-por-ano</w:t>
        </w:r>
      </w:hyperlink>
      <w:r>
        <w:t xml:space="preserve"> - This article from the Regional Labour Court of the 11th Region reports on a study indicating that discrimination against LGBTI+ individuals in Brazil's labour market results in annual salary losses of R$ 94.4 billion. The study, conducted by the World Bank, also reveals that the unemployment rate among LGBTI+ adults is 15.2%, nearly double the national average of 7.7%. The article underscores the economic repercussions of such discrimination and the importance of inclusive employment practices.</w:t>
      </w:r>
      <w:r/>
    </w:p>
    <w:p>
      <w:pPr>
        <w:pStyle w:val="ListNumber"/>
        <w:spacing w:line="240" w:lineRule="auto"/>
        <w:ind w:left="720"/>
      </w:pPr>
      <w:r/>
      <w:hyperlink r:id="rId13">
        <w:r>
          <w:rPr>
            <w:color w:val="0000EE"/>
            <w:u w:val="single"/>
          </w:rPr>
          <w:t>https://casaraobrasil.org.br/transparencia/</w:t>
        </w:r>
      </w:hyperlink>
      <w:r>
        <w:t xml:space="preserve"> - The Casarão Brasil – Associação LGBTI website provides transparency reports detailing their financial and operational activities. The organisation focuses on social inclusion for the LGBTI+ community in São Paulo, offering services such as professional training courses. One example is a basic bakery course developed in partnership with the State Department of Social Development, aiming to enhance employability and income generation for LGBTI+ individuals. The report highlights the organisation's commitment to transparency and community support.</w:t>
      </w:r>
      <w:r/>
    </w:p>
    <w:p>
      <w:pPr>
        <w:pStyle w:val="ListNumber"/>
        <w:spacing w:line="240" w:lineRule="auto"/>
        <w:ind w:left="720"/>
      </w:pPr>
      <w:r/>
      <w:hyperlink r:id="rId11">
        <w:r>
          <w:rPr>
            <w:color w:val="0000EE"/>
            <w:u w:val="single"/>
          </w:rPr>
          <w:t>https://lgbtqia.mdh.gov.br/custo-economico-da-exclusao-lgbtqia/</w:t>
        </w:r>
      </w:hyperlink>
      <w:r>
        <w:t xml:space="preserve"> - The Ministry of Human Rights and Citizenship of Brazil presents a study on the economic cost of LGBTI+ exclusion in the labour market. The report, conducted in partnership with the World Bank, estimates that the exclusion of LGBTI+ individuals costs Brazil approximately R$ 94.4 billion annually, equivalent to 0.8% of the country's GDP. The study combines quantitative and qualitative data to map the economic impact of exclusion and aims to support policy dialogues for strengthening social and economic inclusion.</w:t>
      </w:r>
      <w:r/>
    </w:p>
    <w:p>
      <w:pPr>
        <w:pStyle w:val="ListNumber"/>
        <w:spacing w:line="240" w:lineRule="auto"/>
        <w:ind w:left="720"/>
      </w:pPr>
      <w:r/>
      <w:hyperlink r:id="rId12">
        <w:r>
          <w:rPr>
            <w:color w:val="0000EE"/>
            <w:u w:val="single"/>
          </w:rPr>
          <w:t>https://veja.abril.com.br/coluna/radar-economico/o-custo-da-discriminacao/</w:t>
        </w:r>
      </w:hyperlink>
      <w:r>
        <w:t xml:space="preserve"> - An article in Veja magazine's 'Radar Econômico' section discusses the economic implications of discrimination against LGBTI+ individuals in Brazil. A study by the World Bank presented to the Superior Labour Court reveals that the exclusion of LGBTI+ people from the workforce costs Brazil R$ 94.4 billion annually, about 0.8% of the GDP. The article highlights the broader economic consequences of workplace discrimination, including reduced productivity and competitiveness, and calls for inclusive policies to address these issues.</w:t>
      </w:r>
      <w:r/>
    </w:p>
    <w:p>
      <w:pPr>
        <w:pStyle w:val="ListNumber"/>
        <w:spacing w:line="240" w:lineRule="auto"/>
        <w:ind w:left="720"/>
      </w:pPr>
      <w:r/>
      <w:hyperlink r:id="rId14">
        <w:r>
          <w:rPr>
            <w:color w:val="0000EE"/>
            <w:u w:val="single"/>
          </w:rPr>
          <w:t>https://www.sinergiacut.org.br/agencia-de-noticias/exclusao-lgbtqia-custa-r-94-bilhoes-por-ano-ao-brasil-aponta-estudo</w:t>
        </w:r>
      </w:hyperlink>
      <w:r>
        <w:t xml:space="preserve"> - The Sinergia CUT website reports on a study by the World Bank indicating that discrimination and exclusion of LGBTI+ individuals in Brazil's labour market lead to economic losses of R$ 94.4 billion annually. The study highlights that LGBTI+ individuals face higher unemployment rates and lower income levels compared to the general population. The article emphasizes the need for inclusive policies to address these disparities and reduce the economic impact of discrimination.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forbes.com.br/forbes-money/2026/07/exclusao-lgbti-trabalho/" TargetMode="External"/><Relationship Id="rId10" Type="http://schemas.openxmlformats.org/officeDocument/2006/relationships/hyperlink" Target="https://portal.trt11.jus.br/index.php/comunicacao/11490-discriminacao-contra-lgbti-no-mercado-de-trabalho-brasileiro-gera-perdas-salariais-de-r-94-4-bilhoes-por-ano" TargetMode="External"/><Relationship Id="rId11" Type="http://schemas.openxmlformats.org/officeDocument/2006/relationships/hyperlink" Target="https://lgbtqia.mdh.gov.br/custo-economico-da-exclusao-lgbtqia/" TargetMode="External"/><Relationship Id="rId12" Type="http://schemas.openxmlformats.org/officeDocument/2006/relationships/hyperlink" Target="https://veja.abril.com.br/coluna/radar-economico/o-custo-da-discriminacao/" TargetMode="External"/><Relationship Id="rId13" Type="http://schemas.openxmlformats.org/officeDocument/2006/relationships/hyperlink" Target="https://casaraobrasil.org.br/transparencia/" TargetMode="External"/><Relationship Id="rId14" Type="http://schemas.openxmlformats.org/officeDocument/2006/relationships/hyperlink" Target="https://www.sinergiacut.org.br/agencia-de-noticias/exclusao-lgbtqia-custa-r-94-bilhoes-por-ano-ao-brasil-aponta-estudo" TargetMode="External"/><Relationship Id="rId15" Type="http://schemas.openxmlformats.org/officeDocument/2006/relationships/hyperlink" Target="http://acontecesantyago.blogspot.com/2026/09/discriminacao-lgbtqia-gera-prejuizo.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