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Rights Groups Say Philanthropy Must Step 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rights organisations in the US are warning that philanthropic support is disappearing just as political attacks intensify. Shelby Chestnut of the Transgender Law Center says the retreat is a choice, not a financial necessity, and argues that sustained funding could help community groups counter hostile campaigns and build broader public support.</w:t>
      </w:r>
      <w:r/>
    </w:p>
    <w:p>
      <w:pPr>
        <w:pStyle w:val="Heading2"/>
      </w:pPr>
      <w:r>
        <w:t>Essential Takeaways</w:t>
      </w:r>
      <w:r/>
      <w:r/>
    </w:p>
    <w:p>
      <w:pPr>
        <w:pStyle w:val="ListBullet"/>
        <w:spacing w:line="240" w:lineRule="auto"/>
        <w:ind w:left="720"/>
      </w:pPr>
      <w:r/>
      <w:r>
        <w:rPr>
          <w:b/>
        </w:rPr>
        <w:t>Funding is shrinking:</w:t>
      </w:r>
      <w:r>
        <w:t xml:space="preserve"> Trans-led organisations were already receiving a disproportionately small share of foundation support.</w:t>
      </w:r>
      <w:r/>
    </w:p>
    <w:p>
      <w:pPr>
        <w:pStyle w:val="ListBullet"/>
        <w:spacing w:line="240" w:lineRule="auto"/>
        <w:ind w:left="720"/>
      </w:pPr>
      <w:r/>
      <w:r>
        <w:rPr>
          <w:b/>
        </w:rPr>
        <w:t>Political pressure matters:</w:t>
      </w:r>
      <w:r>
        <w:t xml:space="preserve"> Anti-trans messaging has made some donors and boards more cautious about backing the movement.</w:t>
      </w:r>
      <w:r/>
    </w:p>
    <w:p>
      <w:pPr>
        <w:pStyle w:val="ListBullet"/>
        <w:spacing w:line="240" w:lineRule="auto"/>
        <w:ind w:left="720"/>
      </w:pPr>
      <w:r/>
      <w:r>
        <w:rPr>
          <w:b/>
        </w:rPr>
        <w:t>The stakes are practical:</w:t>
      </w:r>
      <w:r>
        <w:t xml:space="preserve"> Reduced funding can affect legal challenges, organising, public education and ballot campaigns.</w:t>
      </w:r>
      <w:r/>
    </w:p>
    <w:p>
      <w:pPr>
        <w:pStyle w:val="ListBullet"/>
        <w:spacing w:line="240" w:lineRule="auto"/>
        <w:ind w:left="720"/>
      </w:pPr>
      <w:r/>
      <w:r>
        <w:rPr>
          <w:b/>
        </w:rPr>
        <w:t>Public support may be wider than it appears:</w:t>
      </w:r>
      <w:r>
        <w:t xml:space="preserve"> Chestnut argues that loud opposition can create the impression that anti-trans views are dominant.</w:t>
      </w:r>
      <w:r/>
    </w:p>
    <w:p>
      <w:pPr>
        <w:pStyle w:val="ListBullet"/>
        <w:spacing w:line="240" w:lineRule="auto"/>
        <w:ind w:left="720"/>
      </w:pPr>
      <w:r/>
      <w:r>
        <w:rPr>
          <w:b/>
        </w:rPr>
        <w:t>Donors have options:</w:t>
      </w:r>
      <w:r>
        <w:t xml:space="preserve"> Supporting both established charities and grassroots campaigns could strengthen long-term advocacy.</w:t>
      </w:r>
      <w:r/>
      <w:r/>
    </w:p>
    <w:p>
      <w:pPr>
        <w:pStyle w:val="Heading2"/>
      </w:pPr>
      <w:r>
        <w:t>A funding crisis arrives at the worst possible moment</w:t>
      </w:r>
      <w:r/>
    </w:p>
    <w:p>
      <w:r/>
      <w:r>
        <w:t>The warning is stark: trans rights groups are being asked to fight a louder, better-funded political campaign with fewer resources. Shelby Chestnut, executive director of the Transgender Law Center, says philanthropy has undergone a “near complete exodus” from trans organisations, according to LGBTQ Nation.</w:t>
      </w:r>
      <w:r/>
    </w:p>
    <w:p>
      <w:r/>
      <w:r>
        <w:t>That retreat is especially troubling because the funding landscape was uneven to begin with. Trans-led groups have long argued that they receive less charitable support than the scale of the challenges facing the community would suggest. Now, as legal and political attacks continue across the US, the organisations doing frontline work are finding the financial cupboard increasingly bare. (The Advocate)</w:t>
      </w:r>
      <w:r/>
    </w:p>
    <w:p>
      <w:r/>
      <w:r>
        <w:t>Chestnut says the decision to step back isn't about a shortage of money. They point to the vast sums previously raised for marriage equality and argue that trans communities have often been offered only a fraction of comparable backing, despite sustained campaigning and growing pressure. (Them)</w:t>
      </w:r>
      <w:r/>
    </w:p>
    <w:p>
      <w:pPr>
        <w:pStyle w:val="Heading2"/>
      </w:pPr>
      <w:r>
        <w:t>Donors are reacting to noise, not necessarily public opinion</w:t>
      </w:r>
      <w:r/>
    </w:p>
    <w:p>
      <w:r/>
      <w:r>
        <w:t>One reason for the change may be the sheer volume of anti-trans messaging. During the 2024 presidential election, Republicans spent at least $215 million on attack adverts focused on trans people, including claims about sport, prisons and gender-affirming care, LGBTQ Nation reported.</w:t>
      </w:r>
      <w:r/>
    </w:p>
    <w:p>
      <w:r/>
      <w:r>
        <w:t>That kind of saturation can distort the public mood. When voters see the same message repeatedly, it can feel more widely accepted than it really is. Chestnut says philanthropists may make the same mistake, assuming that a movement facing relentless criticism is somehow unpopular or too risky to support. (Them)</w:t>
      </w:r>
      <w:r/>
    </w:p>
    <w:p>
      <w:r/>
      <w:r>
        <w:t>It's a familiar communications problem: the loudest voice in the room can sound like the majority, even when it isn't. For trans organisations, the answer isn't simply producing more statements. They need the resources to tell their own stories, organise locally and make supportive voices visible in everyday life. (The 19th)</w:t>
      </w:r>
      <w:r/>
    </w:p>
    <w:p>
      <w:pPr>
        <w:pStyle w:val="Heading2"/>
      </w:pPr>
      <w:r>
        <w:t>Why grassroots funding matters beyond charities</w:t>
      </w:r>
      <w:r/>
    </w:p>
    <w:p>
      <w:r/>
      <w:r>
        <w:t>Chestnut's appeal goes beyond traditional nonprofit grants. They are also calling for backing for campaigns that can influence elections, challenge ballot measures and help place supportive candidates in positions of power.</w:t>
      </w:r>
      <w:r/>
    </w:p>
    <w:p>
      <w:r/>
      <w:r>
        <w:t>That distinction matters. Legal organisations can challenge discriminatory policies, while local groups may provide direct support, organise communities and respond quickly when a new proposal appears. Campaign funding can then address the political decisions that shape whether those protections survive. (Them)</w:t>
      </w:r>
      <w:r/>
    </w:p>
    <w:p>
      <w:r/>
      <w:r>
        <w:t>For donors, the practical lesson is to look beyond brand recognition. A large national organisation may offer legal expertise and infrastructure, while a smaller trans-led group may know exactly which neighbourhoods, schools or communities need help. A balanced approach can support both immediate assistance and long-term change. (LGBTQ Nation)</w:t>
      </w:r>
      <w:r/>
    </w:p>
    <w:p>
      <w:pPr>
        <w:pStyle w:val="Heading2"/>
      </w:pPr>
      <w:r>
        <w:t>How supporters can make trans rights visible</w:t>
      </w:r>
      <w:r/>
    </w:p>
    <w:p>
      <w:r/>
      <w:r>
        <w:t>Chestnut argues that people who support trans rights need to be more open and more visible. That might mean displaying affirming messages, sharing reliable information, speaking with relatives or supporting local events, rather than leaving public debate to organised opposition.</w:t>
      </w:r>
      <w:r/>
    </w:p>
    <w:p>
      <w:r/>
      <w:r>
        <w:t>Visibility won't replace money, but it can help change the sense of social consensus. When people encounter support in ordinary settings, from workplace conversations to signs outside homes, it becomes harder for hostile campaigners to present their position as the only respectable view. (Them)</w:t>
      </w:r>
      <w:r/>
    </w:p>
    <w:p>
      <w:r/>
      <w:r>
        <w:t>For individuals, donating regularly is often more useful than making a single reactive gift. Before giving, check whether an organisation is trans-led, publishes financial information and explains how it measures impact. If money is tight, volunteering, amplifying accurate information and contacting elected representatives can still provide valuable support. (The Advocate)</w:t>
      </w:r>
      <w:r/>
    </w:p>
    <w:p>
      <w:pPr>
        <w:pStyle w:val="Heading2"/>
      </w:pPr>
      <w:r>
        <w:t>The next test is staying power</w:t>
      </w:r>
      <w:r/>
    </w:p>
    <w:p>
      <w:r/>
      <w:r>
        <w:t>The central concern is that donors may return only when the political climate improves. But rights organisations need stability before, during and after election cycles. Without reliable funding, staff leave, legal work slows and community programmes become harder to sustain.</w:t>
      </w:r>
      <w:r/>
    </w:p>
    <w:p>
      <w:r/>
      <w:r>
        <w:t>Chestnut's challenge is therefore aimed at more than wealthy foundations. It's a request for the wider philanthropic sector to decide whether its support is conditional on popularity or grounded in principle. As LGBTQ Nation reported, they believe trans organisations have already built considerable power with inconsistent backing. The obvious question is what could happen with dependable investment.</w:t>
      </w:r>
      <w:r/>
    </w:p>
    <w:p>
      <w:r/>
      <w:r>
        <w:t>For supporters, the outlook can feel exhausting. Still, a movement doesn't become less important because its opponents have become more aggressive. In fact, that may be precisely when sustained solidarity matters most. (Them)</w:t>
      </w:r>
      <w:r/>
    </w:p>
    <w:p>
      <w:r/>
      <w:r>
        <w:t>Supporting trans-led organisations now could help turn public solidarity into lasting progress.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0">
        <w:r>
          <w:rPr>
            <w:color w:val="0000EE"/>
            <w:u w:val="single"/>
          </w:rPr>
          <w:t>[4]</w:t>
        </w:r>
      </w:hyperlink>
      <w:r>
        <w:t xml:space="preserve">, </w:t>
      </w:r>
      <w:hyperlink r:id="rId10">
        <w:r>
          <w:rPr>
            <w:color w:val="0000EE"/>
            <w:u w:val="single"/>
          </w:rPr>
          <w:t>[7]</w:t>
        </w:r>
      </w:hyperlink>
      <w:r>
        <w:t xml:space="preserve">- Paragraph 5: </w:t>
      </w:r>
      <w:hyperlink r:id="rId10">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[5]</w:t>
        </w:r>
      </w:hyperlink>
      <w:r>
        <w:t xml:space="preserve">, </w:t>
      </w:r>
      <w:hyperlink r:id="rId10">
        <w:r>
          <w:rPr>
            <w:color w:val="0000EE"/>
            <w:u w:val="single"/>
          </w:rPr>
          <w:t>[6]</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[3]</w:t>
        </w:r>
      </w:hyperlink>
      <w:r>
        <w:t xml:space="preserve">, </w:t>
      </w:r>
      <w:hyperlink r:id="rId10">
        <w:r>
          <w:rPr>
            <w:color w:val="0000EE"/>
            <w:u w:val="single"/>
          </w:rPr>
          <w:t>[7]</w:t>
        </w:r>
      </w:hyperlink>
      <w:r>
        <w:t xml:space="preserve">- Paragraph 9: </w:t>
      </w:r>
      <w:hyperlink r:id="rId10">
        <w:r>
          <w:rPr>
            <w:color w:val="0000EE"/>
            <w:u w:val="single"/>
          </w:rPr>
          <w:t>[2]</w:t>
        </w:r>
      </w:hyperlink>
      <w:r>
        <w:t xml:space="preserve">, </w:t>
      </w:r>
      <w:hyperlink r:id="rId10">
        <w:r>
          <w:rPr>
            <w:color w:val="0000EE"/>
            <w:u w:val="single"/>
          </w:rPr>
          <w:t>[5]</w:t>
        </w:r>
      </w:hyperlink>
      <w:r>
        <w:t xml:space="preserve">- Paragraph 10: </w:t>
      </w:r>
      <w:hyperlink r:id="rId10">
        <w:r>
          <w:rPr>
            <w:color w:val="0000EE"/>
            <w:u w:val="single"/>
          </w:rPr>
          <w:t>[4]</w:t>
        </w:r>
      </w:hyperlink>
      <w:r>
        <w:t xml:space="preserve">, </w:t>
      </w:r>
      <w:hyperlink r:id="rId10">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https://www.lgbtqnation.com/2026/09/trans-rights-leader-says-cruel-funders-have-largely-abandoned-trans-rights-groups/</w:t>
        </w:r>
      </w:hyperlink>
      <w:r>
        <w:t xml:space="preserve"> - Please view link - unable to able to access data</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p>
      <w:pPr>
        <w:pStyle w:val="ListNumber"/>
        <w:spacing w:line="240" w:lineRule="auto"/>
        <w:ind w:left="720"/>
      </w:pPr>
      <w:r/>
      <w:hyperlink r:id="rId10">
        <w:r>
          <w:rPr>
            <w:color w:val="0000EE"/>
            <w:u w:val="single"/>
          </w:rPr>
          <w:t>https://www.them.us/news/trans-rights-philanthropy-retreat</w:t>
        </w:r>
      </w:hyperlink>
      <w:r>
        <w:t xml:space="preserve"> - Shelby Chestnut, Executive Director of the Transgender Law Center, has highlighted a significant decline in philanthropic support for transgender rights organisations. In an article for Nonprofit Quarterly, Chestnut noted that funding from US foundations was already disproportionately low, and the current public hostility towards transgender individuals has further diminished this support. She emphasised that this withdrawal is a choice, not due to a lack of funds, and warned of the severe consequences for the community. Chestnut called for sustained investment in trans-led organising to combat the anti-trans movement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trans-rights-leader-says-cruel-funders-have-largely-abandoned-trans-rights-groups/" TargetMode="External"/><Relationship Id="rId10" Type="http://schemas.openxmlformats.org/officeDocument/2006/relationships/hyperlink" Target="https://www.them.us/news/trans-rights-philanthropy-retre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