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Trans Rights Activism Matters as Anti-Trans Pressure Grows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Margaret Cho has issued a fierce reminder that defending trans rights means standing together, especially as activists and watchdogs warn of rising political hostility and real-world danger across the United States.</w:t>
      </w:r>
      <w:r/>
    </w:p>
    <w:p>
      <w:pPr>
        <w:pStyle w:val="Heading2"/>
      </w:pPr>
      <w:r>
        <w:t>Essential Takeaways</w:t>
      </w:r>
      <w:r/>
      <w:r/>
    </w:p>
    <w:p>
      <w:pPr>
        <w:pStyle w:val="ListBullet"/>
        <w:spacing w:line="240" w:lineRule="auto"/>
        <w:ind w:left="720"/>
      </w:pPr>
      <w:r/>
      <w:r>
        <w:rPr>
          <w:b/>
        </w:rPr>
        <w:t>Cho's message:</w:t>
      </w:r>
      <w:r>
        <w:t xml:space="preserve"> The comedian is urging queer people and allies to resist attempts to isolate the trans community.</w:t>
      </w:r>
      <w:r/>
    </w:p>
    <w:p>
      <w:pPr>
        <w:pStyle w:val="ListBullet"/>
        <w:spacing w:line="240" w:lineRule="auto"/>
        <w:ind w:left="720"/>
      </w:pPr>
      <w:r/>
      <w:r>
        <w:rPr>
          <w:b/>
        </w:rPr>
        <w:t>A serious backdrop:</w:t>
      </w:r>
      <w:r>
        <w:t xml:space="preserve"> Rights groups have documented violence and discrimination affecting transgender and gender-nonconforming people.</w:t>
      </w:r>
      <w:r/>
    </w:p>
    <w:p>
      <w:pPr>
        <w:pStyle w:val="ListBullet"/>
        <w:spacing w:line="240" w:lineRule="auto"/>
        <w:ind w:left="720"/>
      </w:pPr>
      <w:r/>
      <w:r>
        <w:rPr>
          <w:b/>
        </w:rPr>
        <w:t>Policy matters:</w:t>
      </w:r>
      <w:r>
        <w:t xml:space="preserve"> The ACLU says recent political efforts have targeted protections and narrowed recognition of gender diversity.</w:t>
      </w:r>
      <w:r/>
    </w:p>
    <w:p>
      <w:pPr>
        <w:pStyle w:val="ListBullet"/>
        <w:spacing w:line="240" w:lineRule="auto"/>
        <w:ind w:left="720"/>
      </w:pPr>
      <w:r/>
      <w:r>
        <w:rPr>
          <w:b/>
        </w:rPr>
        <w:t>Solidarity is practical:</w:t>
      </w:r>
      <w:r>
        <w:t xml:space="preserve"> Supporting trans people can mean challenging misinformation, backing local organisations and speaking up safely.</w:t>
      </w:r>
      <w:r/>
    </w:p>
    <w:p>
      <w:pPr>
        <w:pStyle w:val="ListBullet"/>
        <w:spacing w:line="240" w:lineRule="auto"/>
        <w:ind w:left="720"/>
      </w:pPr>
      <w:r/>
      <w:r>
        <w:rPr>
          <w:b/>
        </w:rPr>
        <w:t>The pressure is continuing:</w:t>
      </w:r>
      <w:r>
        <w:t xml:space="preserve"> GLAAD recorded more than 1,000 anti-LGBTQ+ incidents across the US in 2025.</w:t>
      </w:r>
      <w:r/>
      <w:r/>
    </w:p>
    <w:p>
      <w:pPr>
        <w:pStyle w:val="Heading2"/>
      </w:pPr>
      <w:r>
        <w:t>Margaret Cho's message is about solidarity, not slogans</w:t>
      </w:r>
      <w:r/>
    </w:p>
    <w:p>
      <w:r/>
      <w:r>
        <w:t>Margaret Cho's intervention lands with particular force because it isn't wrapped in soft-focus celebrity language. In a video message, she argues that the wider queer community must stand with trans people rather than treating their rights as a separate issue. Her tone is warm but unmistakably combative, like a friend pulling up a chair and saying, right, we're dealing with this together.</w:t>
      </w:r>
      <w:r/>
    </w:p>
    <w:p>
      <w:r/>
      <w:r>
        <w:t>That sense of unity matters when public debate turns people into political shorthand. According to the ACLU, policies and proposals associated with Donald Trump's administration have rolled back LGBTQ+ protections and contributed to the criminalisation or suspicion of gender nonconformity. For trans people, those changes aren't abstract: they can affect healthcare, identification, education and everyday safety.</w:t>
      </w:r>
      <w:r/>
    </w:p>
    <w:p>
      <w:pPr>
        <w:pStyle w:val="Heading2"/>
      </w:pPr>
      <w:r>
        <w:t>The political language has real consequences</w:t>
      </w:r>
      <w:r/>
    </w:p>
    <w:p>
      <w:r/>
      <w:r>
        <w:t>Promises to erase or end transgender identity may sound legally impossible, but campaign rhetoric can still shape the atmosphere around vulnerable communities. Human Rights Watch has warned that transgender people in the US face significant risks of violence, discrimination and exclusion. That reality makes inflammatory language more than an ugly headline.</w:t>
      </w:r>
      <w:r/>
    </w:p>
    <w:p>
      <w:r/>
      <w:r>
        <w:t>The Human Rights Campaign's reporting on fatal violence against transgender and gender-nonconforming people has also shown how deadly prejudice can become. Numbers can't capture every frightened journey home or tense encounter in a public place, but they do make one point clear: the stakes are painfully real.</w:t>
      </w:r>
      <w:r/>
    </w:p>
    <w:p>
      <w:pPr>
        <w:pStyle w:val="Heading2"/>
      </w:pPr>
      <w:r>
        <w:t>Why the wider queer community is paying attention</w:t>
      </w:r>
      <w:r/>
    </w:p>
    <w:p>
      <w:r/>
      <w:r>
        <w:t>Cho's central argument is that an attack on one part of the LGBTQ+ community can create a template for targeting others. That doesn't mean every group experiences discrimination in the same way. It does mean that silence can make hostile policies easier to normalise, particularly when the people affected are portrayed as too small or too controversial to defend.</w:t>
      </w:r>
      <w:r/>
    </w:p>
    <w:p>
      <w:r/>
      <w:r>
        <w:t>The ACLU's PFLAG v Trump case reflects how these disputes move from political speeches into courtrooms. Legal challenges can protect people from immediate harm, but they aren't a substitute for public understanding. A rights framework works best when neighbours, employers, schools and families also recognise trans people as part of ordinary community life.</w:t>
      </w:r>
      <w:r/>
    </w:p>
    <w:p>
      <w:pPr>
        <w:pStyle w:val="Heading2"/>
      </w:pPr>
      <w:r>
        <w:t>Anti-LGBTQ+ incidents are not happening in a vacuum</w:t>
      </w:r>
      <w:r/>
    </w:p>
    <w:p>
      <w:r/>
      <w:r>
        <w:t>GLAAD reported more than 1,000 anti-LGBTQ+ incidents nationwide in 2025, a figure that includes harassment, threats and other forms of hostility. It offers a sobering counterpoint to anyone tempted to dismiss online abuse or political messaging as mere noise. Repeated hostility can make public life feel smaller, louder and less safe.</w:t>
      </w:r>
      <w:r/>
    </w:p>
    <w:p>
      <w:r/>
      <w:r>
        <w:t>That is why practical allyship matters. Challenge false claims without turning every conversation into a performance, support trans-led groups, report threats and check that local services know how to respond. If a trans friend says a situation feels unsafe, believe them first; nobody needs a courtroom cross-examination before receiving basic care.</w:t>
      </w:r>
      <w:r/>
    </w:p>
    <w:p>
      <w:pPr>
        <w:pStyle w:val="Heading2"/>
      </w:pPr>
      <w:r>
        <w:t>What meaningful support can look like now</w:t>
      </w:r>
      <w:r/>
    </w:p>
    <w:p>
      <w:r/>
      <w:r>
        <w:t>There isn't one perfect script for being an ally, and trying to sound flawless can become its own distraction. Use people's names and pronouns, don't share personal information without permission, and keep learning from trans-led organisations rather than expecting trans friends to provide free lessons during a stressful moment.</w:t>
      </w:r>
      <w:r/>
    </w:p>
    <w:p>
      <w:r/>
      <w:r>
        <w:t>Cho's message is ultimately hopeful because it treats solidarity as an action, not a mood. The landscape is difficult, but campaigns, court cases and community networks can push back against policies that strip away dignity. As the next political cycle approaches, that collective response may prove more durable than any single promise made on a stage.</w:t>
      </w:r>
      <w:r/>
    </w:p>
    <w:p>
      <w:r/>
      <w:r>
        <w:t>Standing with trans people is a daily choice, and it starts with refusing to let them face the pressure alone.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2">
        <w:r>
          <w:rPr>
            <w:color w:val="0000EE"/>
            <w:u w:val="single"/>
          </w:rPr>
          <w:t>[5]</w:t>
        </w:r>
      </w:hyperlink>
      <w:r>
        <w:t xml:space="preserve">- Paragraph 4: </w:t>
      </w:r>
      <w:hyperlink r:id="rId14">
        <w:r>
          <w:rPr>
            <w:color w:val="0000EE"/>
            <w:u w:val="single"/>
          </w:rPr>
          <w:t>[6]</w:t>
        </w:r>
      </w:hyperlink>
      <w:r>
        <w:t xml:space="preserve">, </w:t>
      </w:r>
      <w:hyperlink r:id="rId11">
        <w:r>
          <w:rPr>
            <w:color w:val="0000EE"/>
            <w:u w:val="single"/>
          </w:rPr>
          <w:t>[4]</w:t>
        </w:r>
      </w:hyperlink>
      <w:r>
        <w:t xml:space="preserve">- Paragraph 5: </w:t>
      </w:r>
      <w:hyperlink r:id="rId15">
        <w:r>
          <w:rPr>
            <w:color w:val="0000EE"/>
            <w:u w:val="single"/>
          </w:rPr>
          <w:t>[7]</w:t>
        </w:r>
      </w:hyperlink>
      <w:r>
        <w:t xml:space="preserve">, </w:t>
      </w:r>
      <w:hyperlink r:id="rId12">
        <w:r>
          <w:rPr>
            <w:color w:val="0000EE"/>
            <w:u w:val="single"/>
          </w:rPr>
          <w:t>[5]</w:t>
        </w:r>
      </w:hyperlink>
      <w:r>
        <w:t xml:space="preserve">- Paragraph 6: </w:t>
      </w:r>
      <w:hyperlink r:id="rId15">
        <w:r>
          <w:rPr>
            <w:color w:val="0000EE"/>
            <w:u w:val="single"/>
          </w:rPr>
          <w:t>[7]</w:t>
        </w:r>
      </w:hyperlink>
      <w:r>
        <w:t xml:space="preserve">, </w:t>
      </w:r>
      <w:hyperlink r:id="rId11">
        <w:r>
          <w:rPr>
            <w:color w:val="0000EE"/>
            <w:u w:val="single"/>
          </w:rPr>
          <w:t>[4]</w:t>
        </w:r>
      </w:hyperlink>
      <w:r>
        <w:t xml:space="preserve">- Paragraph 7: </w:t>
      </w:r>
      <w:hyperlink r:id="rId14">
        <w:r>
          <w:rPr>
            <w:color w:val="0000EE"/>
            <w:u w:val="single"/>
          </w:rPr>
          <w:t>[6]</w:t>
        </w:r>
      </w:hyperlink>
      <w:r>
        <w:t xml:space="preserve">, </w:t>
      </w:r>
      <w:hyperlink r:id="rId11">
        <w:r>
          <w:rPr>
            <w:color w:val="0000EE"/>
            <w:u w:val="single"/>
          </w:rPr>
          <w:t>[4]</w:t>
        </w:r>
      </w:hyperlink>
      <w:r>
        <w:t xml:space="preserve">- Paragraph 8: </w:t>
      </w:r>
      <w:hyperlink r:id="rId13">
        <w:r>
          <w:rPr>
            <w:color w:val="0000EE"/>
            <w:u w:val="single"/>
          </w:rPr>
          <w:t>[3]</w:t>
        </w:r>
      </w:hyperlink>
      <w:r>
        <w:t xml:space="preserve">, </w:t>
      </w:r>
      <w:hyperlink r:id="rId12">
        <w:r>
          <w:rPr>
            <w:color w:val="0000EE"/>
            <w:u w:val="single"/>
          </w:rPr>
          <w:t>[5]</w:t>
        </w:r>
      </w:hyperlink>
      <w:r>
        <w:t xml:space="preserve">- Paragraph 9: </w:t>
      </w:r>
      <w:hyperlink r:id="rId15">
        <w:r>
          <w:rPr>
            <w:color w:val="0000EE"/>
            <w:u w:val="single"/>
          </w:rPr>
          <w:t>[7]</w:t>
        </w:r>
      </w:hyperlink>
      <w:r>
        <w:t xml:space="preserve">, </w:t>
      </w:r>
      <w:hyperlink r:id="rId14">
        <w:r>
          <w:rPr>
            <w:color w:val="0000EE"/>
            <w:u w:val="single"/>
          </w:rPr>
          <w:t>[6]</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https://meaws.com/news/margaret-cho-has-strong-words-for-tr-mp-s/105142</w:t>
        </w:r>
      </w:hyperlink>
      <w:r>
        <w:t xml:space="preserve"> - Please view link - unable to able to access data</w:t>
      </w:r>
      <w:r/>
    </w:p>
    <w:p>
      <w:pPr>
        <w:pStyle w:val="ListNumber"/>
        <w:spacing w:line="240" w:lineRule="auto"/>
        <w:ind w:left="720"/>
      </w:pPr>
      <w:r/>
      <w:hyperlink r:id="rId10">
        <w:r>
          <w:rPr>
            <w:color w:val="0000EE"/>
            <w:u w:val="single"/>
          </w:rPr>
          <w:t>https://www.lgbtqnation.com/2026/01/the-us-is-in-early-stages-of-an-anti-trans-experts-say/</w:t>
        </w:r>
      </w:hyperlink>
      <w:r>
        <w:t xml:space="preserve"> - Experts warn that the United States is in the early stages of a genocidal process targeting transgender individuals. The Lemkin Institute for Genocide Prevention and Human Security released a 'Red Flag Alert' highlighting escalating anti-trans legislation and political rhetoric. Dr. Elisa von Joeden-Forgey of the Lemkin Institute stated that the U.S. is in the 'early-to-mid stages of a genocidal process against trans and nonbinary and intersex people.' Dr. Gregory Stanton of Genocide Watch described the Trump administration's executive order denying recognition of genders outside the male-female binary as 'totalitarian' and driven by 'Nazi ideology.'</w:t>
      </w:r>
      <w:r/>
    </w:p>
    <w:p>
      <w:pPr>
        <w:pStyle w:val="ListNumber"/>
        <w:spacing w:line="240" w:lineRule="auto"/>
        <w:ind w:left="720"/>
      </w:pPr>
      <w:r/>
      <w:hyperlink r:id="rId13">
        <w:r>
          <w:rPr>
            <w:color w:val="0000EE"/>
            <w:u w:val="single"/>
          </w:rPr>
          <w:t>https://www.hrc.org/news/press-releases/human-rights-campaign-releases-2020-report-on-fatal-violence-against-transgender-and-gender-non-conforming-people</w:t>
        </w:r>
      </w:hyperlink>
      <w:r>
        <w:t xml:space="preserve"> - The Human Rights Campaign (HRC) released a report documenting fatal violence against transgender and gender non-conforming individuals in 2020. The report highlights the persistent marginalisation and violence faced by these communities, with a significant number of victims being transgender women of colour. The HRC emphasises the need for comprehensive legal protections and societal change to address this epidemic of violence.</w:t>
      </w:r>
      <w:r/>
    </w:p>
    <w:p>
      <w:pPr>
        <w:pStyle w:val="ListNumber"/>
        <w:spacing w:line="240" w:lineRule="auto"/>
        <w:ind w:left="720"/>
      </w:pPr>
      <w:r/>
      <w:hyperlink r:id="rId11">
        <w:r>
          <w:rPr>
            <w:color w:val="0000EE"/>
            <w:u w:val="single"/>
          </w:rPr>
          <w:t>https://www.aclu.org/news/lgbtq-rights/trump-on-lgbtq-rights-rolling-back-protections-and-criminalizing-gender-nonconformity</w:t>
        </w:r>
      </w:hyperlink>
      <w:r>
        <w:t xml:space="preserve"> - The American Civil Liberties Union (ACLU) details the threats posed by the Trump administration to the LGBTQ community, particularly transgender individuals. The ACLU highlights efforts to 'define 'transgender' out of existence,' erode protections for transgender students and workers, and weaken access to gender-affirming health care. These actions are part of a sustained, years-long effort to erase protections for LGBTQ people.</w:t>
      </w:r>
      <w:r/>
    </w:p>
    <w:p>
      <w:pPr>
        <w:pStyle w:val="ListNumber"/>
        <w:spacing w:line="240" w:lineRule="auto"/>
        <w:ind w:left="720"/>
      </w:pPr>
      <w:r/>
      <w:hyperlink r:id="rId12">
        <w:r>
          <w:rPr>
            <w:color w:val="0000EE"/>
            <w:u w:val="single"/>
          </w:rPr>
          <w:t>https://www.hrw.org/news/2021/11/18/united-states-transgender-people-risk-violence</w:t>
        </w:r>
      </w:hyperlink>
      <w:r>
        <w:t xml:space="preserve"> - Human Rights Watch documents how persistent marginalisation puts transgender people, particularly Black transgender women, at heightened risk of violence. The report highlights cases of fatal violence, physical and sexual assaults, verbal harassment, and intimidation by strangers, intimate partners, family members, and law enforcement. The findings underscore the urgent need for protective measures and societal change to safeguard transgender individuals.</w:t>
      </w:r>
      <w:r/>
    </w:p>
    <w:p>
      <w:pPr>
        <w:pStyle w:val="ListNumber"/>
        <w:spacing w:line="240" w:lineRule="auto"/>
        <w:ind w:left="720"/>
      </w:pPr>
      <w:r/>
      <w:hyperlink r:id="rId14">
        <w:r>
          <w:rPr>
            <w:color w:val="0000EE"/>
            <w:u w:val="single"/>
          </w:rPr>
          <w:t>https://www.aclu.org/cases/pflag-v-trump</w:t>
        </w:r>
      </w:hyperlink>
      <w:r>
        <w:t xml:space="preserve"> - Transgender young adults and families with transgender youth, together with PFLAG National and GLMA, filed a federal legal challenge against a January 2025 executive order from the Trump administration. The order directed federal agencies to withhold funds from medical providers and institutions that provide gender-affirming medical treatments to individuals under nineteen, threatening to shut down access to essential health care that is already out of reach for many.</w:t>
      </w:r>
      <w:r/>
    </w:p>
    <w:p>
      <w:pPr>
        <w:pStyle w:val="ListNumber"/>
        <w:spacing w:line="240" w:lineRule="auto"/>
        <w:ind w:left="720"/>
      </w:pPr>
      <w:r/>
      <w:hyperlink r:id="rId15">
        <w:r>
          <w:rPr>
            <w:color w:val="0000EE"/>
            <w:u w:val="single"/>
          </w:rPr>
          <w:t>https://www.glaad.org/releases/glaad-alert-desk-documents-more-than-1000-anti-lgbtq-incidents-nationwide-in-2025</w:t>
        </w:r>
      </w:hyperlink>
      <w:r>
        <w:t xml:space="preserve"> - GLAAD's Anti-LGBTQ Extremism Reporting Tracker documented 1,042 anti-LGBTQ incidents in 2025 across 47 US states and the District of Columbia. The incidents included acts of hateful vandalism, violent assaults, threats of mass violence, and arson attempts. The report highlights the escalating climate of hate and violence against the LGBTQ community, particularly transgender and gender non-conforming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margaret-cho-has-strong-words-for-tr-mp-s/105142" TargetMode="External"/><Relationship Id="rId10" Type="http://schemas.openxmlformats.org/officeDocument/2006/relationships/hyperlink" Target="https://www.lgbtqnation.com/2026/01/the-us-is-in-early-stages-of-an-anti-trans-experts-say/" TargetMode="External"/><Relationship Id="rId11" Type="http://schemas.openxmlformats.org/officeDocument/2006/relationships/hyperlink" Target="https://www.aclu.org/news/lgbtq-rights/trump-on-lgbtq-rights-rolling-back-protections-and-criminalizing-gender-nonconformity" TargetMode="External"/><Relationship Id="rId12" Type="http://schemas.openxmlformats.org/officeDocument/2006/relationships/hyperlink" Target="https://www.hrw.org/news/2021/11/18/united-states-transgender-people-risk-violence" TargetMode="External"/><Relationship Id="rId13" Type="http://schemas.openxmlformats.org/officeDocument/2006/relationships/hyperlink" Target="https://www.hrc.org/news/press-releases/human-rights-campaign-releases-2020-report-on-fatal-violence-against-transgender-and-gender-non-conforming-people" TargetMode="External"/><Relationship Id="rId14" Type="http://schemas.openxmlformats.org/officeDocument/2006/relationships/hyperlink" Target="https://www.aclu.org/cases/pflag-v-trump" TargetMode="External"/><Relationship Id="rId15" Type="http://schemas.openxmlformats.org/officeDocument/2006/relationships/hyperlink" Target="https://www.glaad.org/releases/glaad-alert-desk-documents-more-than-1000-anti-lgbtq-incidents-nationwide-in-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