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Queer-Friendly Wellness Advice Matters for Everyday Health</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Queer people are increasingly pushing back against wellness advice built around control, perfection and an imaginary default patient. The issue isn't simply representation. It's whether guidance on food, exercise, hormones, mental health and sexual wellbeing reflects real lives, reduces shame and makes it easier to seek useful care.</w:t>
      </w:r>
      <w:r/>
    </w:p>
    <w:p>
      <w:pPr>
        <w:pStyle w:val="Heading2"/>
      </w:pPr>
      <w:r>
        <w:t>Essential Takeaways</w:t>
      </w:r>
      <w:r/>
      <w:r/>
    </w:p>
    <w:p>
      <w:pPr>
        <w:pStyle w:val="ListBullet"/>
        <w:spacing w:line="240" w:lineRule="auto"/>
        <w:ind w:left="720"/>
      </w:pPr>
      <w:r/>
      <w:r>
        <w:rPr>
          <w:b/>
        </w:rPr>
        <w:t>Generic advice misses context:</w:t>
      </w:r>
      <w:r>
        <w:t xml:space="preserve"> Minority stress, discrimination and financial pressure can all shape health and behaviour.</w:t>
      </w:r>
      <w:r/>
    </w:p>
    <w:p>
      <w:pPr>
        <w:pStyle w:val="ListBullet"/>
        <w:spacing w:line="240" w:lineRule="auto"/>
        <w:ind w:left="720"/>
      </w:pPr>
      <w:r/>
      <w:r>
        <w:rPr>
          <w:b/>
        </w:rPr>
        <w:t>Care can feel unsafe:</w:t>
      </w:r>
      <w:r>
        <w:t xml:space="preserve"> Misgendering, assumptions about relationships and gaps in LGBTQ+ knowledge may discourage honest conversations.</w:t>
      </w:r>
      <w:r/>
    </w:p>
    <w:p>
      <w:pPr>
        <w:pStyle w:val="ListBullet"/>
        <w:spacing w:line="240" w:lineRule="auto"/>
        <w:ind w:left="720"/>
      </w:pPr>
      <w:r/>
      <w:r>
        <w:rPr>
          <w:b/>
        </w:rPr>
        <w:t>Wellness isn't a moral test:</w:t>
      </w:r>
      <w:r>
        <w:t xml:space="preserve"> Better health guidance should support realistic choices rather than demand perfect discipline.</w:t>
      </w:r>
      <w:r/>
    </w:p>
    <w:p>
      <w:pPr>
        <w:pStyle w:val="ListBullet"/>
        <w:spacing w:line="240" w:lineRule="auto"/>
        <w:ind w:left="720"/>
      </w:pPr>
      <w:r/>
      <w:r>
        <w:rPr>
          <w:b/>
        </w:rPr>
        <w:t>Pleasure belongs in the conversation:</w:t>
      </w:r>
      <w:r>
        <w:t xml:space="preserve"> Honest harm-reduction advice is more useful than judgement around nightlife, alcohol or substances.</w:t>
      </w:r>
      <w:r/>
    </w:p>
    <w:p>
      <w:pPr>
        <w:pStyle w:val="ListBullet"/>
        <w:spacing w:line="240" w:lineRule="auto"/>
        <w:ind w:left="720"/>
      </w:pPr>
      <w:r/>
      <w:r>
        <w:rPr>
          <w:b/>
        </w:rPr>
        <w:t>Representation needs substance:</w:t>
      </w:r>
      <w:r>
        <w:t xml:space="preserve"> A rainbow logo can't replace informed guidance on hormones, fertility, sexual health and body image.</w:t>
      </w:r>
      <w:r/>
      <w:r/>
    </w:p>
    <w:p>
      <w:pPr>
        <w:pStyle w:val="Heading2"/>
      </w:pPr>
      <w:r>
        <w:t>Wellness was built around an imaginary patient</w:t>
      </w:r>
      <w:r/>
    </w:p>
    <w:p>
      <w:r/>
      <w:r>
        <w:t>Wellness often arrives with a neat little checklist: eat better, exercise regularly, sleep well and somehow emerge as a shinier version of yourself. It sounds reassuring, but that formula can feel deeply disconnected from the lives of queer people whose health is shaped by stress, identity, safety and access to care.</w:t>
      </w:r>
      <w:r/>
    </w:p>
    <w:p>
      <w:r/>
      <w:r>
        <w:t>The problem isn't that sleep, movement or nourishing food matter. They do. It's that mainstream advice can frame them as purely individual choices, while overlooking discrimination, financial insecurity and healthcare barriers. KFF's research on LGBTQ+ health highlights significant differences in access and experiences of care, making the idea that everyone starts from the same place look particularly flimsy.</w:t>
      </w:r>
      <w:r/>
    </w:p>
    <w:p>
      <w:r/>
      <w:r>
        <w:t>For someone already accustomed to monitoring their voice, body or appearance, another list of rules can feel less like self-care and more like a performance review. That is a fairly grim atmosphere in which to pursue wellbeing.</w:t>
      </w:r>
      <w:r/>
    </w:p>
    <w:p>
      <w:pPr>
        <w:pStyle w:val="Heading2"/>
      </w:pPr>
      <w:r>
        <w:t>Why healthcare conversations can become harder</w:t>
      </w:r>
      <w:r/>
    </w:p>
    <w:p>
      <w:r/>
      <w:r>
        <w:t>Inclusive care involves more than using the right acronym. Patients need to feel able to explain what is happening in their bodies without bracing for assumptions, awkwardness or dismissal.</w:t>
      </w:r>
      <w:r/>
    </w:p>
    <w:p>
      <w:r/>
      <w:r>
        <w:t>Scripps notes that LGBTQ+ people may face specific healthcare needs linked to gender-affirming treatment, sexual health, mental health and family planning. Those needs aren't interchangeable, and they shouldn't be squeezed into a generic template designed for someone else's anatomy, relationships or life stage.</w:t>
      </w:r>
      <w:r/>
    </w:p>
    <w:p>
      <w:r/>
      <w:r>
        <w:t>Research and reporting have also drawn attention to discrimination and medical gaslighting affecting LGBTQ+ patients. Healthline has covered findings suggesting that many LGBTQ+ people have experienced having their symptoms questioned or minimised. When that happens, even a straightforward question about digestion, medication or pain can begin to feel like a risky admission.</w:t>
      </w:r>
      <w:r/>
    </w:p>
    <w:p>
      <w:r/>
      <w:r>
        <w:t>That silence has consequences. People may delay appointments, edit what they disclose or avoid care altogether, while clinicians lose the information they need to offer sensible advice.</w:t>
      </w:r>
      <w:r/>
    </w:p>
    <w:p>
      <w:pPr>
        <w:pStyle w:val="Heading2"/>
      </w:pPr>
      <w:r>
        <w:t>Better queer wellness advice starts with real life</w:t>
      </w:r>
      <w:r/>
    </w:p>
    <w:p>
      <w:r/>
      <w:r>
        <w:t>A more useful approach recognises that food and exercise can carry emotional weight. For some people, changing their body is connected to dysphoria, safety, desirability or the hope of being accepted. Treating that pursuit as a simple matter of willpower misses the deeper story.</w:t>
      </w:r>
      <w:r/>
    </w:p>
    <w:p>
      <w:r/>
      <w:r>
        <w:t>Healthline's LGBTQIA+ wellness coverage reflects the breadth of topics that matter, from mental health and sexual wellbeing to relationships and everyday self-care. That broader lens is important because queer health isn't only about crisis statistics, nor is it about achieving a particular aesthetic. Much of it is the ordinary business of wanting more energy, less anxiety and a calmer relationship with one's body.</w:t>
      </w:r>
      <w:r/>
    </w:p>
    <w:p>
      <w:r/>
      <w:r>
        <w:t>The practical lesson is to ask what a behaviour is doing for you before deciding whether it is healthy. Is a strict routine helping you feel grounded, or is it fuelling fear? Is exercise enjoyable, or is it punishment in sleek activewear? Those questions don't replace medical advice, but they can make health goals more honest and sustainable.</w:t>
      </w:r>
      <w:r/>
    </w:p>
    <w:p>
      <w:pPr>
        <w:pStyle w:val="Heading2"/>
      </w:pPr>
      <w:r>
        <w:t>Pleasure, nightlife and harm reduction belong in the picture</w:t>
      </w:r>
      <w:r/>
    </w:p>
    <w:p>
      <w:r/>
      <w:r>
        <w:t>Mainstream wellness often swings between pretending nightlife doesn't exist and treating it as evidence that someone has failed. Neither is especially helpful. For many queer people, nightlife can offer community, freedom and a place to express themselves; it can also intersect with loneliness, trauma, substances or pressure to feel confident.</w:t>
      </w:r>
      <w:r/>
    </w:p>
    <w:p>
      <w:r/>
      <w:r>
        <w:t>A harm-reduction approach makes room for both realities. It can include practical information about hydration, sleep, safer sex, medication interactions, consent, recovery and when to seek support. Crucially, it gives people a reason to ask questions before a situation becomes urgent.</w:t>
      </w:r>
      <w:r/>
    </w:p>
    <w:p>
      <w:r/>
      <w:r>
        <w:t>KFF's work on discrimination and healthcare disparities underlines why trust matters. People are less likely to share sensitive information with professionals or services where they expect judgement. A warm, factual conversation is not indulgent; it is often the route to safer decisions.</w:t>
      </w:r>
      <w:r/>
    </w:p>
    <w:p>
      <w:pPr>
        <w:pStyle w:val="Heading2"/>
      </w:pPr>
      <w:r>
        <w:t>Representation needs more than a rainbow logo</w:t>
      </w:r>
      <w:r/>
    </w:p>
    <w:p>
      <w:r/>
      <w:r>
        <w:t>A rainbow-branded campaign may look welcoming, but the real test is whether the advice understands the detail. Guidance involving hormone therapy, fertility, HIV prevention, sexual health or body image needs to account for different bodies, relationships and treatment pathways.</w:t>
      </w:r>
      <w:r/>
    </w:p>
    <w:p>
      <w:r/>
      <w:r>
        <w:t>Scripps identifies several areas where LGBTQ+ patients may need tailored care, while JAMA Network research adds to the evidence that disparities in access and health outcomes cannot be solved through cosmetic inclusion alone. The message is straightforward: representation should change practice, not just packaging.</w:t>
      </w:r>
      <w:r/>
    </w:p>
    <w:p>
      <w:r/>
      <w:r>
        <w:t>For readers choosing a practitioner, it can help to ask direct questions. Does the provider have experience with LGBTQ+ patients? Will they use your name and pronouns? Can they discuss hormones, sexual health or fertility without making assumptions? If the answers are vague, looking elsewhere isn't being difficult. It's sensible shopping for care.</w:t>
      </w:r>
      <w:r/>
    </w:p>
    <w:p>
      <w:pPr>
        <w:pStyle w:val="Heading2"/>
      </w:pPr>
      <w:r>
        <w:t>The future of wellness should be less perfect</w:t>
      </w:r>
      <w:r/>
    </w:p>
    <w:p>
      <w:r/>
      <w:r>
        <w:t>Daniel O'Shaughnessy's forthcoming book, The Queer Guide to Nutrition and Lifestyle, is part of a wider push towards health advice that connects nutrition with minority stress, identity, body image, mental health and sexual wellbeing. That approach feels overdue because people don't experience these issues in separate labelled boxes.</w:t>
      </w:r>
      <w:r/>
    </w:p>
    <w:p>
      <w:r/>
      <w:r>
        <w:t>The strongest guidance won't create another set of rules for queer people to obey. Instead, it should offer evidence, context and choices that fit different budgets, bodies, relationships and energy levels. It should also acknowledge that structural problems can't be solved by buying a supplement or waking up at five in the morning.</w:t>
      </w:r>
      <w:r/>
    </w:p>
    <w:p>
      <w:r/>
      <w:r>
        <w:t>The most useful question may not be, "How can I become perfect?" It may be, "What would help me feel safer, more informed and more at home in my body?" That's a much kinder starting point, and probably a more practical one too.</w:t>
      </w:r>
      <w:r/>
    </w:p>
    <w:p>
      <w:r/>
      <w:r>
        <w:t>It's a small but powerful shift: wellness should support queer lives, not ask them to disappear into a generic template.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1">
        <w:r>
          <w:rPr>
            <w:color w:val="0000EE"/>
            <w:u w:val="single"/>
          </w:rPr>
          <w:t>[3]</w:t>
        </w:r>
      </w:hyperlink>
      <w:r>
        <w:t xml:space="preserve">, </w:t>
      </w:r>
      <w:hyperlink r:id="rId12">
        <w:r>
          <w:rPr>
            <w:color w:val="0000EE"/>
            <w:u w:val="single"/>
          </w:rPr>
          <w:t>[4]</w:t>
        </w:r>
      </w:hyperlink>
      <w:r>
        <w:t xml:space="preserve">- Paragraph 3: </w:t>
      </w:r>
      <w:hyperlink r:id="rId13">
        <w:r>
          <w:rPr>
            <w:color w:val="0000EE"/>
            <w:u w:val="single"/>
          </w:rPr>
          <w:t>[5]</w:t>
        </w:r>
      </w:hyperlink>
      <w:r>
        <w:t xml:space="preserve">, </w:t>
      </w:r>
      <w:hyperlink r:id="rId14">
        <w:r>
          <w:rPr>
            <w:color w:val="0000EE"/>
            <w:u w:val="single"/>
          </w:rPr>
          <w:t>[6]</w:t>
        </w:r>
      </w:hyperlink>
      <w:r>
        <w:t xml:space="preserve">- Paragraph 4: </w:t>
      </w:r>
      <w:hyperlink r:id="rId12">
        <w:r>
          <w:rPr>
            <w:color w:val="0000EE"/>
            <w:u w:val="single"/>
          </w:rPr>
          <w:t>[4]</w:t>
        </w:r>
      </w:hyperlink>
      <w:r>
        <w:t xml:space="preserve">, </w:t>
      </w:r>
      <w:hyperlink r:id="rId15">
        <w:r>
          <w:rPr>
            <w:color w:val="0000EE"/>
            <w:u w:val="single"/>
          </w:rPr>
          <w:t>[7]</w:t>
        </w:r>
      </w:hyperlink>
      <w:r>
        <w:t xml:space="preserve">- Paragraph 5: </w:t>
      </w:r>
      <w:hyperlink r:id="rId10">
        <w:r>
          <w:rPr>
            <w:color w:val="0000EE"/>
            <w:u w:val="single"/>
          </w:rPr>
          <w:t>[2]</w:t>
        </w:r>
      </w:hyperlink>
      <w:r>
        <w:t xml:space="preserve">, </w:t>
      </w:r>
      <w:hyperlink r:id="rId11">
        <w:r>
          <w:rPr>
            <w:color w:val="0000EE"/>
            <w:u w:val="single"/>
          </w:rPr>
          <w:t>[3]</w:t>
        </w:r>
      </w:hyperlink>
      <w:r>
        <w:t xml:space="preserve">- Paragraph 6: </w:t>
      </w:r>
      <w:hyperlink r:id="rId12">
        <w:r>
          <w:rPr>
            <w:color w:val="0000EE"/>
            <w:u w:val="single"/>
          </w:rPr>
          <w:t>[4]</w:t>
        </w:r>
      </w:hyperlink>
      <w:r>
        <w:t xml:space="preserve">, </w:t>
      </w:r>
      <w:hyperlink r:id="rId13">
        <w:r>
          <w:rPr>
            <w:color w:val="0000EE"/>
            <w:u w:val="single"/>
          </w:rPr>
          <w:t>[5]</w:t>
        </w:r>
      </w:hyperlink>
      <w:r>
        <w:t xml:space="preserve">- Paragraph 7: </w:t>
      </w:r>
      <w:hyperlink r:id="rId14">
        <w:r>
          <w:rPr>
            <w:color w:val="0000EE"/>
            <w:u w:val="single"/>
          </w:rPr>
          <w:t>[6]</w:t>
        </w:r>
      </w:hyperlink>
      <w:r>
        <w:t xml:space="preserve">, </w:t>
      </w:r>
      <w:hyperlink r:id="rId15">
        <w:r>
          <w:rPr>
            <w:color w:val="0000EE"/>
            <w:u w:val="single"/>
          </w:rPr>
          <w:t>[7]</w:t>
        </w:r>
      </w:hyperlink>
      <w:r>
        <w:t xml:space="preserve">- Paragraph 8: </w:t>
      </w:r>
      <w:hyperlink r:id="rId10">
        <w:r>
          <w:rPr>
            <w:color w:val="0000EE"/>
            <w:u w:val="single"/>
          </w:rPr>
          <w:t>[2]</w:t>
        </w:r>
      </w:hyperlink>
      <w:r>
        <w:t xml:space="preserve">, </w:t>
      </w:r>
      <w:hyperlink r:id="rId12">
        <w:r>
          <w:rPr>
            <w:color w:val="0000EE"/>
            <w:u w:val="single"/>
          </w:rPr>
          <w:t>[4]</w:t>
        </w:r>
      </w:hyperlink>
      <w:r>
        <w:t xml:space="preserve">- Paragraph 9: </w:t>
      </w:r>
      <w:hyperlink r:id="rId11">
        <w:r>
          <w:rPr>
            <w:color w:val="0000EE"/>
            <w:u w:val="single"/>
          </w:rPr>
          <w:t>[3]</w:t>
        </w:r>
      </w:hyperlink>
      <w:r>
        <w:t xml:space="preserve">, </w:t>
      </w:r>
      <w:hyperlink r:id="rId14">
        <w:r>
          <w:rPr>
            <w:color w:val="0000EE"/>
            <w:u w:val="single"/>
          </w:rPr>
          <w:t>[6]</w:t>
        </w:r>
      </w:hyperlink>
      <w:r>
        <w:t xml:space="preserve">- Paragraph 10: </w:t>
      </w:r>
      <w:hyperlink r:id="rId10">
        <w:r>
          <w:rPr>
            <w:color w:val="0000EE"/>
            <w:u w:val="single"/>
          </w:rPr>
          <w:t>[2]</w:t>
        </w:r>
      </w:hyperlink>
      <w:r>
        <w:t xml:space="preserve">, </w:t>
      </w:r>
      <w:hyperlink r:id="rId13">
        <w:r>
          <w:rPr>
            <w:color w:val="0000EE"/>
            <w:u w:val="single"/>
          </w:rPr>
          <w:t>[5]</w:t>
        </w:r>
      </w:hyperlink>
      <w:r>
        <w:t xml:space="preserve">- Paragraph 11: </w:t>
      </w:r>
      <w:hyperlink r:id="rId12">
        <w:r>
          <w:rPr>
            <w:color w:val="0000EE"/>
            <w:u w:val="single"/>
          </w:rPr>
          <w:t>[4]</w:t>
        </w:r>
      </w:hyperlink>
      <w:r>
        <w:t xml:space="preserve">, </w:t>
      </w:r>
      <w:hyperlink r:id="rId15">
        <w:r>
          <w:rPr>
            <w:color w:val="0000EE"/>
            <w:u w:val="single"/>
          </w:rPr>
          <w:t>[7]</w:t>
        </w:r>
      </w:hyperlink>
      <w:r>
        <w:t xml:space="preserve">- Paragraph 12: </w:t>
      </w:r>
      <w:hyperlink r:id="rId11">
        <w:r>
          <w:rPr>
            <w:color w:val="0000EE"/>
            <w:u w:val="single"/>
          </w:rPr>
          <w:t>[3]</w:t>
        </w:r>
      </w:hyperlink>
      <w:r>
        <w:t xml:space="preserve">, </w:t>
      </w:r>
      <w:hyperlink r:id="rId14">
        <w:r>
          <w:rPr>
            <w:color w:val="0000EE"/>
            <w:u w:val="single"/>
          </w:rPr>
          <w:t>[6]</w:t>
        </w:r>
      </w:hyperlink>
      <w:r>
        <w:t xml:space="preserve">- Paragraph 13: </w:t>
      </w:r>
      <w:hyperlink r:id="rId10">
        <w:r>
          <w:rPr>
            <w:color w:val="0000EE"/>
            <w:u w:val="single"/>
          </w:rPr>
          <w:t>[2]</w:t>
        </w:r>
      </w:hyperlink>
      <w:r>
        <w:t xml:space="preserve">, </w:t>
      </w:r>
      <w:hyperlink r:id="rId12">
        <w:r>
          <w:rPr>
            <w:color w:val="0000EE"/>
            <w:u w:val="single"/>
          </w:rPr>
          <w:t>[4]</w:t>
        </w:r>
      </w:hyperlink>
      <w:r>
        <w:t xml:space="preserve">- Paragraph 14: </w:t>
      </w:r>
      <w:hyperlink r:id="rId13">
        <w:r>
          <w:rPr>
            <w:color w:val="0000EE"/>
            <w:u w:val="single"/>
          </w:rPr>
          <w:t>[5]</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https://blog.jkp.com/2026/09/why-mainstream-wellness-was-never-designed-for-queer-people/?utm_source=rss&amp;utm_medium=rss&amp;utm_campaign=why-mainstream-wellness-was-never-designed-for-queer-people</w:t>
        </w:r>
      </w:hyperlink>
      <w:r>
        <w:t xml:space="preserve"> - Please view link - unable to able to access data</w:t>
      </w:r>
      <w:r/>
    </w:p>
    <w:p>
      <w:pPr>
        <w:pStyle w:val="ListNumber"/>
        <w:spacing w:line="240" w:lineRule="auto"/>
        <w:ind w:left="720"/>
      </w:pPr>
      <w:r/>
      <w:hyperlink r:id="rId10">
        <w:r>
          <w:rPr>
            <w:color w:val="0000EE"/>
            <w:u w:val="single"/>
          </w:rPr>
          <w:t>https://www.healthline.com/lgbtqia/health-wellness</w:t>
        </w:r>
      </w:hyperlink>
      <w:r>
        <w:t xml:space="preserve"> - Healthline's LGBTQIA+ Health section provides comprehensive information on self-care, body image, nutrition, chronic health conditions, and COVID-19, addressing the unique wellness needs of the LGBTQIA+ community.</w:t>
      </w:r>
      <w:r/>
    </w:p>
    <w:p>
      <w:pPr>
        <w:pStyle w:val="ListNumber"/>
        <w:spacing w:line="240" w:lineRule="auto"/>
        <w:ind w:left="720"/>
      </w:pPr>
      <w:r/>
      <w:hyperlink r:id="rId11">
        <w:r>
          <w:rPr>
            <w:color w:val="0000EE"/>
            <w:u w:val="single"/>
          </w:rPr>
          <w:t>https://www.kff.org/womens-health-policy/lgbt-peoples-health-status-and-access-to-care/</w:t>
        </w:r>
      </w:hyperlink>
      <w:r>
        <w:t xml:space="preserve"> - The Kaiser Family Foundation's report highlights health disparities among LGBT+ individuals, including higher rates of chronic conditions and discrimination in healthcare settings, emphasizing the need for inclusive health policies.</w:t>
      </w:r>
      <w:r/>
    </w:p>
    <w:p>
      <w:pPr>
        <w:pStyle w:val="ListNumber"/>
        <w:spacing w:line="240" w:lineRule="auto"/>
        <w:ind w:left="720"/>
      </w:pPr>
      <w:r/>
      <w:hyperlink r:id="rId12">
        <w:r>
          <w:rPr>
            <w:color w:val="0000EE"/>
            <w:u w:val="single"/>
          </w:rPr>
          <w:t>https://www.scripps.org/news_items/7221-lgbtq-health-care-needs-what-are-they</w:t>
        </w:r>
      </w:hyperlink>
      <w:r>
        <w:t xml:space="preserve"> - Scripps Health discusses the unique health concerns of LGBTQ+ communities, such as HIV, STIs, cancer, and mental health issues, and the importance of culturally competent care to address these disparities.</w:t>
      </w:r>
      <w:r/>
    </w:p>
    <w:p>
      <w:pPr>
        <w:pStyle w:val="ListNumber"/>
        <w:spacing w:line="240" w:lineRule="auto"/>
        <w:ind w:left="720"/>
      </w:pPr>
      <w:r/>
      <w:hyperlink r:id="rId13">
        <w:r>
          <w:rPr>
            <w:color w:val="0000EE"/>
            <w:u w:val="single"/>
          </w:rPr>
          <w:t>https://www.healthline.com/health-news/new-study-finds-47-of-lgbtq-people-experience-medical-gaslighting</w:t>
        </w:r>
      </w:hyperlink>
      <w:r>
        <w:t xml:space="preserve"> - A Healthline article reports that 47% of LGBTQ+ individuals experience medical gaslighting, highlighting the prevalence of discrimination and the need for respectful healthcare interactions.</w:t>
      </w:r>
      <w:r/>
    </w:p>
    <w:p>
      <w:pPr>
        <w:pStyle w:val="ListNumber"/>
        <w:spacing w:line="240" w:lineRule="auto"/>
        <w:ind w:left="720"/>
      </w:pPr>
      <w:r/>
      <w:hyperlink r:id="rId14">
        <w:r>
          <w:rPr>
            <w:color w:val="0000EE"/>
            <w:u w:val="single"/>
          </w:rPr>
          <w:t>https://www.kff.org/racial-equity-and-health-policy/lgbt-adults-experiences-with-discrimination-and-health-care-disparities-findings-from-the-kff-survey-of-racism-discrimination-and-health/</w:t>
        </w:r>
      </w:hyperlink>
      <w:r>
        <w:t xml:space="preserve"> - The Kaiser Family Foundation's survey reveals that LGBT adults face significant discrimination and health disparities, underscoring the necessity for equitable healthcare access and treatment.</w:t>
      </w:r>
      <w:r/>
    </w:p>
    <w:p>
      <w:pPr>
        <w:pStyle w:val="ListNumber"/>
        <w:spacing w:line="240" w:lineRule="auto"/>
        <w:ind w:left="720"/>
      </w:pPr>
      <w:r/>
      <w:hyperlink r:id="rId15">
        <w:r>
          <w:rPr>
            <w:color w:val="0000EE"/>
            <w:u w:val="single"/>
          </w:rPr>
          <w:t>https://www.jamanetwork.com/journals/jama-health-forum/fullarticle/2782625</w:t>
        </w:r>
      </w:hyperlink>
      <w:r>
        <w:t xml:space="preserve"> - A JAMA Health Forum article discusses a report highlighting that LGBT+ individuals are more likely to report being in fair or poor health and having higher rates of ongoing health conditions and disability.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blog.jkp.com/2026/09/why-mainstream-wellness-was-never-designed-for-queer-people/?utm_source=rss&amp;utm_medium=rss&amp;utm_campaign=why-mainstream-wellness-was-never-designed-for-queer-people" TargetMode="External"/><Relationship Id="rId10" Type="http://schemas.openxmlformats.org/officeDocument/2006/relationships/hyperlink" Target="https://www.healthline.com/lgbtqia/health-wellness" TargetMode="External"/><Relationship Id="rId11" Type="http://schemas.openxmlformats.org/officeDocument/2006/relationships/hyperlink" Target="https://www.kff.org/womens-health-policy/lgbt-peoples-health-status-and-access-to-care/" TargetMode="External"/><Relationship Id="rId12" Type="http://schemas.openxmlformats.org/officeDocument/2006/relationships/hyperlink" Target="https://www.scripps.org/news_items/7221-lgbtq-health-care-needs-what-are-they" TargetMode="External"/><Relationship Id="rId13" Type="http://schemas.openxmlformats.org/officeDocument/2006/relationships/hyperlink" Target="https://www.healthline.com/health-news/new-study-finds-47-of-lgbtq-people-experience-medical-gaslighting" TargetMode="External"/><Relationship Id="rId14" Type="http://schemas.openxmlformats.org/officeDocument/2006/relationships/hyperlink" Target="https://www.kff.org/racial-equity-and-health-policy/lgbt-adults-experiences-with-discrimination-and-health-care-disparities-findings-from-the-kff-survey-of-racism-discrimination-and-health/" TargetMode="External"/><Relationship Id="rId15" Type="http://schemas.openxmlformats.org/officeDocument/2006/relationships/hyperlink" Target="https://www.jamanetwork.com/journals/jama-health-forum/fullarticle/278262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