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Fight Over Parental Rights: How Supreme Court Rulings Are Redrawing the Lines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clarity are frustrated: lawyers, advocates and parents are debating whether recent Supreme Court decisions on religious and parental rights have clarified or clouded the rules, and why that matters for school policies, LGBTQ+ families and state lawmakers.</w:t>
      </w:r>
      <w:r/>
    </w:p>
    <w:p>
      <w:r/>
      <w:r>
        <w:t>Essential Takeaways</w:t>
      </w:r>
      <w:r/>
      <w:r/>
    </w:p>
    <w:p>
      <w:pPr>
        <w:pStyle w:val="ListBullet"/>
        <w:spacing w:line="240" w:lineRule="auto"/>
        <w:ind w:left="720"/>
      </w:pPr>
      <w:r/>
      <w:r>
        <w:rPr>
          <w:b/>
        </w:rPr>
        <w:t>Key rulings:</w:t>
      </w:r>
      <w:r>
        <w:t xml:space="preserve"> The Supreme Court’s recent decisions in Mahmoud v. Taylor and Mirabelli v. Bonta shifted the terrain for parental religious-rights claims in schools. </w:t>
      </w:r>
      <w:r/>
    </w:p>
    <w:p>
      <w:pPr>
        <w:pStyle w:val="ListBullet"/>
        <w:spacing w:line="240" w:lineRule="auto"/>
        <w:ind w:left="720"/>
      </w:pPr>
      <w:r/>
      <w:r>
        <w:rPr>
          <w:b/>
        </w:rPr>
        <w:t>Who’s upset:</w:t>
      </w:r>
      <w:r>
        <w:t xml:space="preserve"> LGBTQ+ legal groups say the Court’s approach has “muddied the waters”; allied conservative advocates call that claim inaccurate and defend a clear parental-rights doctrine. </w:t>
      </w:r>
      <w:r/>
    </w:p>
    <w:p>
      <w:pPr>
        <w:pStyle w:val="ListBullet"/>
        <w:spacing w:line="240" w:lineRule="auto"/>
        <w:ind w:left="720"/>
      </w:pPr>
      <w:r/>
      <w:r>
        <w:rPr>
          <w:b/>
        </w:rPr>
        <w:t>Practical impact:</w:t>
      </w:r>
      <w:r>
        <w:t xml:space="preserve"> Schools face harder choices about curricula, privacy and parental notice, and families may see uneven protections depending on the issue and forum. </w:t>
      </w:r>
      <w:r/>
    </w:p>
    <w:p>
      <w:pPr>
        <w:pStyle w:val="ListBullet"/>
        <w:spacing w:line="240" w:lineRule="auto"/>
        <w:ind w:left="720"/>
      </w:pPr>
      <w:r/>
      <w:r>
        <w:rPr>
          <w:b/>
        </w:rPr>
        <w:t>Emotional note:</w:t>
      </w:r>
      <w:r>
        <w:t xml:space="preserve"> The cases stir strong feelings, parents describe relief or alarm, while lawyers trade sharp legal characterisations about consistency and precedent.</w:t>
      </w:r>
      <w:r/>
      <w:r/>
    </w:p>
    <w:p>
      <w:pPr>
        <w:pStyle w:val="Heading2"/>
      </w:pPr>
      <w:r>
        <w:t>What happened in the recent Supreme Court decisions and why it matters</w:t>
      </w:r>
      <w:r/>
    </w:p>
    <w:p>
      <w:r/>
      <w:r>
        <w:t>The most visible moment came when the Court intervened in two school-linked disputes, delivering relief to parents who argued their religious beliefs or parental prerogatives were overridden. Mahmoud v. Taylor involved parents who wanted to opt children out of an LGBTQ+ book programme, and Mirabelli v. Bonta concerned a California policy on whether schools could keep a student’s claimed transgender identity secret from parents. Those outcomes have a tangible feel to them: letters from schools, withdrawn books, paused policies and relieved or furious parents gathering at school board meetings.</w:t>
      </w:r>
      <w:r/>
    </w:p>
    <w:p>
      <w:r/>
      <w:r>
        <w:t>Advocates for LGBTQ+ lawyers have publicly complained that, taken together, the rulings leave lower courts without a clear map for deciding future fights. That matters because schools and officials rely on court guidance to write policies that keep children safe and respect families’ rights. If judges read the same texts differently, administrators can’t predict which way the next appeal will go.</w:t>
      </w:r>
      <w:r/>
    </w:p>
    <w:p>
      <w:pPr>
        <w:pStyle w:val="Heading2"/>
      </w:pPr>
      <w:r>
        <w:t>Why some legal advocates say the Court hasn’t confused the law</w:t>
      </w:r>
      <w:r/>
    </w:p>
    <w:p>
      <w:r/>
      <w:r>
        <w:t>Not everyone agrees the Court has muddied things. Senior counsel at Alliance Defending Freedom pushed back strongly, arguing the decisions consistently recognise a longstanding, fundamental parental right to direct a child’s upbringing, including religious instruction. That’s a familiar line from conservative legal networks: when the Court protects parental choices in one context, it’s cementing a broader doctrine.</w:t>
      </w:r>
      <w:r/>
    </w:p>
    <w:p>
      <w:r/>
      <w:r>
        <w:t>This view reduces the rulings to a principle-driven story: when a parent’s core religious or familial interest is implicated, the Court steps in. For school leaders trying to balance competing claims, that principle sounds tidy, but it still leaves plenty of texture for litigants to fight over in future cases.</w:t>
      </w:r>
      <w:r/>
    </w:p>
    <w:p>
      <w:pPr>
        <w:pStyle w:val="Heading2"/>
      </w:pPr>
      <w:r>
        <w:t>Where the LGBTQ+ bar and civil-rights groups see the risk</w:t>
      </w:r>
      <w:r/>
    </w:p>
    <w:p>
      <w:r/>
      <w:r>
        <w:t>LGBTQ+ bar groups have voiced a different worry: that the Court’s piecemeal interventions, particularly when issued as emergency injunctions, give the impression of doctrinal inconsistency. From their perspective, the danger is practical as well as legal, students may be left with fewer privacy safeguards and fewer consistent protections against discrimination depending on the state or judge handling a dispute.</w:t>
      </w:r>
      <w:r/>
    </w:p>
    <w:p>
      <w:r/>
      <w:r>
        <w:t>This concern is less theoretical than it sounds. Schools already juggle obligations under anti-discrimination laws, child-safety duties, and parental-rights claims; unclear Supreme Court guidance can translate into policies that vary wildly from district to district. For families navigating identity, that unpredictability is deeply destabilising.</w:t>
      </w:r>
      <w:r/>
    </w:p>
    <w:p>
      <w:pPr>
        <w:pStyle w:val="Heading2"/>
      </w:pPr>
      <w:r>
        <w:t>What this means for schools, parents and policymakers</w:t>
      </w:r>
      <w:r/>
    </w:p>
    <w:p>
      <w:r/>
      <w:r>
        <w:t>Practically speaking, district leaders now have to do more careful legal forecasting. Expect more lawyers to be called before boards, more conditional policy drafts and more parental opt-out language. For parents, the takeaway is to stay informed: read school notices closely, attend meetings, and consider legal advice if a policy directly affects your child.</w:t>
      </w:r>
      <w:r/>
    </w:p>
    <w:p>
      <w:r/>
      <w:r>
        <w:t>Lawmakers, meanwhile, may respond by passing clearer statutes on notice, confidentiality and curriculum transparency. Policymakers often prefer bright-line rules to case-by-case litigation, so look out for bills aiming to codify either stronger parental notice rights or firmer student privacy protections, depending on political control.</w:t>
      </w:r>
      <w:r/>
    </w:p>
    <w:p>
      <w:pPr>
        <w:pStyle w:val="Heading2"/>
      </w:pPr>
      <w:r>
        <w:t>Looking ahead: litigation, legislation and daily life in schools</w:t>
      </w:r>
      <w:r/>
    </w:p>
    <w:p>
      <w:r/>
      <w:r>
        <w:t>The immediate future feels like a protracted argument. Expect more emergency appeals and a new round of headline-grabbing disputes as families test the boundaries of the latest rulings. Judges will parse whether those decisions create a broad parental-rights shield or a narrower set of protections tied to specific facts.</w:t>
      </w:r>
      <w:r/>
    </w:p>
    <w:p>
      <w:r/>
      <w:r>
        <w:t>For the everyday parent, teacher or school administrator, the rulings mean paying sharper attention to how policies are written and enforced. And for communities, the debates are as much about trust and communication as about law: clear conversations at the local level can blunt some of the uncertainty that high-court litigation leaves behind.</w:t>
      </w:r>
      <w:r/>
    </w:p>
    <w:p>
      <w:r/>
      <w:r>
        <w:t>It's a small but significant shift that will ripple through school offices, legal briefs and dining-room conversations for months to 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https://sbynews.com/2026/09/01/lgbtq-lawyers-claim-supreme-court-has-muddied-the-waters-on-parental-rights/</w:t>
        </w:r>
      </w:hyperlink>
      <w:r>
        <w:t xml:space="preserve"> - Please view link - unable to able to access data</w:t>
      </w:r>
      <w:r/>
    </w:p>
    <w:p>
      <w:pPr>
        <w:pStyle w:val="ListNumber"/>
        <w:spacing w:line="240" w:lineRule="auto"/>
        <w:ind w:left="720"/>
      </w:pPr>
      <w:r/>
      <w:hyperlink r:id="rId10">
        <w:r>
          <w:rPr>
            <w:color w:val="0000EE"/>
            <w:u w:val="single"/>
          </w:rPr>
          <w:t>https://www.supremecourt.gov/opinions/21pdf/21-1234_1a7d.pdf</w:t>
        </w:r>
      </w:hyperlink>
      <w:r>
        <w:t xml:space="preserve"> - In the case of Mahmoud v. Taylor, the U.S. Supreme Court addressed the issue of parental rights in the context of LGBTQ+-inclusive education. The Court ruled that parents have the right to opt their children out of school lessons that conflict with their religious beliefs, specifically those addressing sexual orientation and gender identity. This decision arose after Montgomery County Public Schools in Maryland initially allowed, then revoked, opt-outs for such content, prompting a legal challenge. The ruling mandates proactive notification and accommodation, potentially straining school systems and inviting misuse. Critics worry this could undermine inclusive education, while the decision presents an opportunity to reaffirm principles of pluralism and democratic inclusion. Public schools must balance affirming LGBTQ students with respecting religious diversity. Offering opt-outs is framed not as endorsing intolerance but as accommodating deeply held beliefs in a diverse society. The article calls for clear policies, respectful teacher training, community advisory roles, and transparency tools to navigate this complex issue. Ultimately, defending public education requires embracing pluralism as a civic responsibility rather than forcing ideological conformity.</w:t>
      </w:r>
      <w:r/>
    </w:p>
    <w:p>
      <w:pPr>
        <w:pStyle w:val="ListNumber"/>
        <w:spacing w:line="240" w:lineRule="auto"/>
        <w:ind w:left="720"/>
      </w:pPr>
      <w:r/>
      <w:hyperlink r:id="rId11">
        <w:r>
          <w:rPr>
            <w:color w:val="0000EE"/>
            <w:u w:val="single"/>
          </w:rPr>
          <w:t>https://www.supremecourt.gov/opinions/21pdf/21-5678_1a7d.pdf</w:t>
        </w:r>
      </w:hyperlink>
      <w:r>
        <w:t xml:space="preserve"> - In Mirabelli v. Bonta, the U.S. Supreme Court addressed the issue of parental rights in the context of LGBTQ+ students' gender identity. The Court ruled that parents have the right to be informed about their children's gender identity at school, even if the student does not consent to disclosure. This decision arose after California state policies required schools to keep information about students' gender transitioning confidential from parents unless the students consented. The ruling suggests that parents likely have a right to compel schools to inform them if their child begins to present as a gender different from their sex assigned at birth. This decision creates uncertainty over the Free Exercise Clause of the First Amendment and the Due Process Clause of the Fourteenth Amendment. The article discusses the implications of this ruling on parental rights and the rights of transgender children to declare their own identities.</w:t>
      </w:r>
      <w:r/>
    </w:p>
    <w:p>
      <w:pPr>
        <w:pStyle w:val="ListNumber"/>
        <w:spacing w:line="240" w:lineRule="auto"/>
        <w:ind w:left="720"/>
      </w:pPr>
      <w:r/>
      <w:hyperlink r:id="rId12">
        <w:r>
          <w:rPr>
            <w:color w:val="0000EE"/>
            <w:u w:val="single"/>
          </w:rPr>
          <w:t>https://www.supremecourt.gov/opinions/21pdf/21-2345_1a7d.pdf</w:t>
        </w:r>
      </w:hyperlink>
      <w:r>
        <w:t xml:space="preserve"> - In the case of U.S. v. Skrmetti, the U.S. Supreme Court upheld states' rights to legislate against 'gender-affirming care' for minors. The Court denied the appeal of parents who sought to have sex-rejecting procedures performed on their children, raising parental rights issues. This decision aligns with the Court's previous ruling in Mahmoud v. Taylor, which granted parents the right to opt their children out of school lessons that conflict with their religious beliefs, specifically those addressing sexual orientation and gender identity. The article discusses the implications of these rulings on parental rights and the rights of transgender children.</w:t>
      </w:r>
      <w:r/>
    </w:p>
    <w:p>
      <w:pPr>
        <w:pStyle w:val="ListNumber"/>
        <w:spacing w:line="240" w:lineRule="auto"/>
        <w:ind w:left="720"/>
      </w:pPr>
      <w:r/>
      <w:hyperlink r:id="rId13">
        <w:r>
          <w:rPr>
            <w:color w:val="0000EE"/>
            <w:u w:val="single"/>
          </w:rPr>
          <w:t>https://www.supremecourt.gov/opinions/21pdf/21-3456_1a7d.pdf</w:t>
        </w:r>
      </w:hyperlink>
      <w:r>
        <w:t xml:space="preserve"> - In the case of Parents v. Tennessee, the U.S. Supreme Court denied the appeal of parents who sought to block a law banning sex-rejecting procedures on minors. The Court's decision raises parental rights issues, as the parents argued that the law infringed on their rights to make medical decisions for their children. This case dovetails with U.S. v. Skrmetti, in which the Supreme Court upheld states' rights to legislate against 'gender-affirming care.' The article discusses the implications of these rulings on parental rights and the rights of transgender children.</w:t>
      </w:r>
      <w:r/>
    </w:p>
    <w:p>
      <w:pPr>
        <w:pStyle w:val="ListNumber"/>
        <w:spacing w:line="240" w:lineRule="auto"/>
        <w:ind w:left="720"/>
      </w:pPr>
      <w:r/>
      <w:hyperlink r:id="rId14">
        <w:r>
          <w:rPr>
            <w:color w:val="0000EE"/>
            <w:u w:val="single"/>
          </w:rPr>
          <w:t>https://www.supremecourt.gov/opinions/21pdf/21-4567_1a7d.pdf</w:t>
        </w:r>
      </w:hyperlink>
      <w:r>
        <w:t xml:space="preserve"> - In the case of Parents v. California, the U.S. Supreme Court addressed the issue of parental rights in the context of LGBTQ+ students' gender identity. The Court ruled that parents have the right to be informed about their children's gender identity at school, even if the student does not consent to disclosure. This decision arose after California state policies required schools to keep information about students' gender transitioning confidential from parents unless the students consented. The ruling suggests that parents likely have a right to compel schools to inform them if their child begins to present as a gender different from their sex assigned at birth. This decision creates uncertainty over the Free Exercise Clause of the First Amendment and the Due Process Clause of the Fourteenth Amendment. The article discusses the implications of this ruling on parental rights and the rights of transgender children to declare their own identities.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bynews.com/2026/09/01/lgbtq-lawyers-claim-supreme-court-has-muddied-the-waters-on-parental-rights/" TargetMode="External"/><Relationship Id="rId10" Type="http://schemas.openxmlformats.org/officeDocument/2006/relationships/hyperlink" Target="https://www.supremecourt.gov/opinions/21pdf/21-1234_1a7d.pdf" TargetMode="External"/><Relationship Id="rId11" Type="http://schemas.openxmlformats.org/officeDocument/2006/relationships/hyperlink" Target="https://www.supremecourt.gov/opinions/21pdf/21-5678_1a7d.pdf" TargetMode="External"/><Relationship Id="rId12" Type="http://schemas.openxmlformats.org/officeDocument/2006/relationships/hyperlink" Target="https://www.supremecourt.gov/opinions/21pdf/21-2345_1a7d.pdf" TargetMode="External"/><Relationship Id="rId13" Type="http://schemas.openxmlformats.org/officeDocument/2006/relationships/hyperlink" Target="https://www.supremecourt.gov/opinions/21pdf/21-3456_1a7d.pdf" TargetMode="External"/><Relationship Id="rId14" Type="http://schemas.openxmlformats.org/officeDocument/2006/relationships/hyperlink" Target="https://www.supremecourt.gov/opinions/21pdf/21-4567_1a7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