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Educators Can Support LGBTQ+ Students in Rights‑Regressive States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Shifts in law and culture have pushed many LGBTQ+ pupils to the margins, but teachers and school staff are finding quiet, clever ways to keep students safe, seen, and supported in hostile states. Here’s a practical guide for educators working under restrictive policies.</w:t>
      </w:r>
      <w:r/>
    </w:p>
    <w:p>
      <w:r/>
      <w:r>
        <w:t>Essential Takeaways</w:t>
      </w:r>
      <w:r/>
      <w:r/>
    </w:p>
    <w:p>
      <w:pPr>
        <w:pStyle w:val="ListBullet"/>
        <w:spacing w:line="240" w:lineRule="auto"/>
        <w:ind w:left="720"/>
      </w:pPr>
      <w:r/>
      <w:r>
        <w:rPr>
          <w:b/>
        </w:rPr>
        <w:t>High stakes:</w:t>
      </w:r>
      <w:r>
        <w:t xml:space="preserve"> State laws and bans on gender-affirming care and DEI training create real risks for trans and nonbinary students, increasing bullying and mental‑health harms.</w:t>
      </w:r>
      <w:r/>
    </w:p>
    <w:p>
      <w:pPr>
        <w:pStyle w:val="ListBullet"/>
        <w:spacing w:line="240" w:lineRule="auto"/>
        <w:ind w:left="720"/>
      </w:pPr>
      <w:r/>
      <w:r>
        <w:rPr>
          <w:b/>
        </w:rPr>
        <w:t>Middle‑way tactics:</w:t>
      </w:r>
      <w:r>
        <w:t xml:space="preserve"> Small, low‑profile strategies, like offering single‑occupancy toilets and voluntary after‑hours training, can materially improve student safety without breaching laws.</w:t>
      </w:r>
      <w:r/>
    </w:p>
    <w:p>
      <w:pPr>
        <w:pStyle w:val="ListBullet"/>
        <w:spacing w:line="240" w:lineRule="auto"/>
        <w:ind w:left="720"/>
      </w:pPr>
      <w:r/>
      <w:r>
        <w:rPr>
          <w:b/>
        </w:rPr>
        <w:t>Documentation caution:</w:t>
      </w:r>
      <w:r>
        <w:t xml:space="preserve"> Forced‑outing or notification rules exist in many places; involving students in decisions about names and records protects agency and safety.</w:t>
      </w:r>
      <w:r/>
    </w:p>
    <w:p>
      <w:pPr>
        <w:pStyle w:val="ListBullet"/>
        <w:spacing w:line="240" w:lineRule="auto"/>
        <w:ind w:left="720"/>
      </w:pPr>
      <w:r/>
      <w:r>
        <w:rPr>
          <w:b/>
        </w:rPr>
        <w:t>Legal pushback and resources:</w:t>
      </w:r>
      <w:r>
        <w:t xml:space="preserve"> Civil rights groups and courts are actively challenging classroom censorship and discriminatory policies; educators can draw on those developments and local advocacy.</w:t>
      </w:r>
      <w:r/>
    </w:p>
    <w:p>
      <w:pPr>
        <w:pStyle w:val="ListBullet"/>
        <w:spacing w:line="240" w:lineRule="auto"/>
        <w:ind w:left="720"/>
      </w:pPr>
      <w:r/>
      <w:r>
        <w:rPr>
          <w:b/>
        </w:rPr>
        <w:t>Practical tone:</w:t>
      </w:r>
      <w:r>
        <w:t xml:space="preserve"> Interventions that are discreet, student‑centred, and low‑cost tend to be most sustainable where surveillance and retaliation are common.</w:t>
      </w:r>
      <w:r/>
      <w:r/>
    </w:p>
    <w:p>
      <w:pPr>
        <w:pStyle w:val="Heading2"/>
      </w:pPr>
      <w:r>
        <w:t>Why the problem feels urgent and personal</w:t>
      </w:r>
      <w:r/>
    </w:p>
    <w:p>
      <w:r/>
      <w:r>
        <w:t>There’s a quiet, heavy atmosphere in many classrooms where teachers worry about what they can say or do without risking their jobs. Parents and students notice it too, hallways feel tenser, pronouns whispered, events pared back. According to trackers of gender‑affirming care and recent press from advocacy groups, a raft of state laws and bans have made even routine support work fraught. That matters because exclusionary policies and forced disclosures directly increase students’ risk of bullying and poor mental health, so small supports are not just niceties, they’re lifelines.</w:t>
      </w:r>
      <w:r/>
    </w:p>
    <w:p>
      <w:pPr>
        <w:pStyle w:val="Heading2"/>
      </w:pPr>
      <w:r>
        <w:t>What “middle‑way” support actually looks like</w:t>
      </w:r>
      <w:r/>
    </w:p>
    <w:p>
      <w:r/>
      <w:r>
        <w:t>A “middle way” doesn’t mean doing nothing; it’s about strategic, focused action that helps students while minimising risk for staff. Practical examples include ensuring single‑occupancy restrooms are clearly available to any student who wants them, creating informal opportunities for chosen names and pronouns without changing official records, and keeping visible symbols of welcome subtle rather than headline‑grabbing. These steps can be implemented quietly, often using existing facilities and routines, and are especially useful where outright advocacy would trigger sanctions.</w:t>
      </w:r>
      <w:r/>
    </w:p>
    <w:p>
      <w:pPr>
        <w:pStyle w:val="Heading2"/>
      </w:pPr>
      <w:r>
        <w:t>How to handle names, pronouns and parental notification</w:t>
      </w:r>
      <w:r/>
    </w:p>
    <w:p>
      <w:r/>
      <w:r>
        <w:t>Policies that mandate telling guardians about a student’s social transition can endanger young people at home. In many schools, there’s still room to manoeuvre: ask students what feels safest, document preferences for informal use (such as in class or on name tags) rather than on formal records, and present staff with clear options that prioritise student consent. When disclosure is unavoidable, work with the student to plan timing and support, and connect them with local advocacy or counselling resources. The aim is to centre student agency while respecting legal constraints.</w:t>
      </w:r>
      <w:r/>
    </w:p>
    <w:p>
      <w:pPr>
        <w:pStyle w:val="Heading2"/>
      </w:pPr>
      <w:r>
        <w:t>Training staff when official options vanish</w:t>
      </w:r>
      <w:r/>
    </w:p>
    <w:p>
      <w:r/>
      <w:r>
        <w:t>Where district DEI offices and state‑sanctioned training programs have been suspended, educators can organise voluntary, off‑hours teach‑ins using non‑state funds and external facilitators. These sessions should be opt‑in, discreet, and focused on practical classroom strategies, de‑escalation, bullying interventions, and inclusive language. Civil liberties groups and national NGOs often provide materials and remote workshops, so teachers don’t have to reinvent the wheel. A little shared learning goes a long way to building quiet networks of support.</w:t>
      </w:r>
      <w:r/>
    </w:p>
    <w:p>
      <w:pPr>
        <w:pStyle w:val="Heading2"/>
      </w:pPr>
      <w:r>
        <w:t>Legal context and why it still matters</w:t>
      </w:r>
      <w:r/>
    </w:p>
    <w:p>
      <w:r/>
      <w:r>
        <w:t>Courts and advocacy groups are pushing back against some classroom censorship and discriminatory statutes, and those developments matter for feet‑on‑the‑ground practice. When the ACLU or similar organisations file lawsuits or when federal rulings partially block state laws, it creates breathing room for educators and students alike. Staying informed about local litigation and partnering with legal or advocacy groups gives schools both information and potential protection, while also reminding staff that policies can change and that they’re not alone.</w:t>
      </w:r>
      <w:r/>
    </w:p>
    <w:p>
      <w:pPr>
        <w:pStyle w:val="Heading2"/>
      </w:pPr>
      <w:r>
        <w:t>Simple, low‑cost steps that actually help today</w:t>
      </w:r>
      <w:r/>
    </w:p>
    <w:p>
      <w:r/>
      <w:r>
        <w:t>You don’t need a big budget to make school life safer. Open a single‑occupancy bathroom for general use, create a quiet “safe‑space” list for students to access support, display subtle inclusive signage, and compile a vetted list of external resources for young people and families. Encourage staff to adopt consistent, neutral language around gender and to intervene swiftly in incidents of name‑calling or exclusion. Small, routine practices add up and can make a student feel respected and protected.</w:t>
      </w:r>
      <w:r/>
    </w:p>
    <w:p>
      <w:r/>
      <w:r>
        <w:t>It's a small shift in approach, but one that can make every classroom a steadier place for LGBTQ+ young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5">
        <w:r>
          <w:rPr>
            <w:color w:val="0000EE"/>
            <w:u w:val="single"/>
          </w:rPr>
          <w:t>[6]</w:t>
        </w:r>
      </w:hyperlink>
      <w:r>
        <w:t xml:space="preserve">, </w:t>
      </w:r>
      <w:hyperlink r:id="rId13">
        <w:r>
          <w:rPr>
            <w:color w:val="0000EE"/>
            <w:u w:val="single"/>
          </w:rPr>
          <w:t>[5]</w:t>
        </w:r>
      </w:hyperlink>
      <w:r>
        <w:t xml:space="preserve">- Paragraph 5: </w:t>
      </w:r>
      <w:hyperlink r:id="rId13">
        <w:r>
          <w:rPr>
            <w:color w:val="0000EE"/>
            <w:u w:val="single"/>
          </w:rPr>
          <w:t>[5]</w:t>
        </w:r>
      </w:hyperlink>
      <w:r>
        <w:t xml:space="preserve">, </w:t>
      </w:r>
      <w:hyperlink r:id="rId14">
        <w:r>
          <w:rPr>
            <w:color w:val="0000EE"/>
            <w:u w:val="single"/>
          </w:rPr>
          <w:t>[7]</w:t>
        </w:r>
      </w:hyperlink>
      <w:r>
        <w:t xml:space="preserve">- Paragraph 6: </w:t>
      </w:r>
      <w:hyperlink r:id="rId12">
        <w:r>
          <w:rPr>
            <w:color w:val="0000EE"/>
            <w:u w:val="single"/>
          </w:rPr>
          <w:t>[4]</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https://glreview.org/supporting-lgbtq-students-in-red-states/</w:t>
        </w:r>
      </w:hyperlink>
      <w:r>
        <w:t xml:space="preserve"> - Please view link - unable to able to access data</w:t>
      </w:r>
      <w:r/>
    </w:p>
    <w:p>
      <w:pPr>
        <w:pStyle w:val="ListNumber"/>
        <w:spacing w:line="240" w:lineRule="auto"/>
        <w:ind w:left="720"/>
      </w:pPr>
      <w:r/>
      <w:hyperlink r:id="rId10">
        <w:r>
          <w:rPr>
            <w:color w:val="0000EE"/>
            <w:u w:val="single"/>
          </w:rPr>
          <w:t>https://www.kff.org/lgbtq/gender-affirming-care-policy-tracker/</w:t>
        </w:r>
      </w:hyperlink>
      <w:r>
        <w:t xml:space="preserve"> - This article provides an overview of state policies restricting youth access to gender-affirming care in the United States. It highlights that 27 states have enacted such laws or policies, affecting approximately 50% of transgender youth aged 13-17. The piece also notes that 18 states are facing or have faced lawsuits challenging these restrictions, and 24 states impose professional or legal penalties on healthcare practitioners providing gender-affirming care to minors. The article underscores the rapid proliferation of these policies and their significant impact on transgender youth seeking care.</w:t>
      </w:r>
      <w:r/>
    </w:p>
    <w:p>
      <w:pPr>
        <w:pStyle w:val="ListNumber"/>
        <w:spacing w:line="240" w:lineRule="auto"/>
        <w:ind w:left="720"/>
      </w:pPr>
      <w:r/>
      <w:hyperlink r:id="rId11">
        <w:r>
          <w:rPr>
            <w:color w:val="0000EE"/>
            <w:u w:val="single"/>
          </w:rPr>
          <w:t>https://www.hrc.org/press-releases/oklahoma-gov-kevin-stitt-signs-discriminatory-diversity-training-ban-into-law</w:t>
        </w:r>
      </w:hyperlink>
      <w:r>
        <w:t xml:space="preserve"> - This press release from the Human Rights Campaign reports on Oklahoma Governor Kevin Stitt signing House Bill 1775 into law on May 10, 2021. The bill prohibits mandatory diversity training for students in Oklahoma's public universities concerning gender identity, sexual orientation, race stereotyping, and sex stereotyping. The release criticizes the legislation as discriminatory and a direct effort to marginalize women, people of colour, and LGBTQ+ Oklahomans, urging Governor Stitt to veto the harmful legislation.</w:t>
      </w:r>
      <w:r/>
    </w:p>
    <w:p>
      <w:pPr>
        <w:pStyle w:val="ListNumber"/>
        <w:spacing w:line="240" w:lineRule="auto"/>
        <w:ind w:left="720"/>
      </w:pPr>
      <w:r/>
      <w:hyperlink r:id="rId12">
        <w:r>
          <w:rPr>
            <w:color w:val="0000EE"/>
            <w:u w:val="single"/>
          </w:rPr>
          <w:t>https://www.kosu.org/show/stateimpact-oklahoma/2022-09-08/faq-what-we-know-about-teaching-since-oklahomas-so-called-critical-race-theory-ban-went-into-effect</w:t>
        </w:r>
      </w:hyperlink>
      <w:r>
        <w:t xml:space="preserve"> - This article provides an overview of Oklahoma's House Bill 1775, signed into law in May 2021, which prohibits teaching certain concepts related to race and sex in educational settings. The law bans eight specific concepts, including the idea that one race or sex is inherently superior to another, and that individuals should feel discomfort or guilt on account of their race or sex. The article discusses the impact of the law on education in Oklahoma, including its effects on curriculum and instructional materials, employee professional development, and diversity, equity, and inclusion plans.</w:t>
      </w:r>
      <w:r/>
    </w:p>
    <w:p>
      <w:pPr>
        <w:pStyle w:val="ListNumber"/>
        <w:spacing w:line="240" w:lineRule="auto"/>
        <w:ind w:left="720"/>
      </w:pPr>
      <w:r/>
      <w:hyperlink r:id="rId13">
        <w:r>
          <w:rPr>
            <w:color w:val="0000EE"/>
            <w:u w:val="single"/>
          </w:rPr>
          <w:t>https://www.acluok.org/press-releases/federal-court-partially-halts-oklahomas-classroom-censorship-law</w:t>
        </w:r>
      </w:hyperlink>
      <w:r>
        <w:t xml:space="preserve"> - This press release from the ACLU of Oklahoma reports on a federal court granting a partial preliminary injunction against Oklahoma's House Bill 1775, which sought to restrict discussions about race and gender in K-12 public schools and public universities. The lawsuit, filed by the ACLU of Oklahoma Foundation, the Lawyers’ Committee for Civil Rights Under Law, and pro bono counsel, challenges the law as an unconstitutional censorship of discussions about race and gender in schools.</w:t>
      </w:r>
      <w:r/>
    </w:p>
    <w:p>
      <w:pPr>
        <w:pStyle w:val="ListNumber"/>
        <w:spacing w:line="240" w:lineRule="auto"/>
        <w:ind w:left="720"/>
      </w:pPr>
      <w:r/>
      <w:hyperlink r:id="rId15">
        <w:r>
          <w:rPr>
            <w:color w:val="0000EE"/>
            <w:u w:val="single"/>
          </w:rPr>
          <w:t>https://www.hrc.org/press-releases/oklahoma-state-legislature-sends-discriminatory-diversity-training-ban-to-governor-stitts-desk</w:t>
        </w:r>
      </w:hyperlink>
      <w:r>
        <w:t xml:space="preserve"> - This press release from the Human Rights Campaign reports on the Oklahoma state legislature sending House Bill 1775 to Governor Kevin Stitt's desk on April 29, 2021. The bill prohibits diversity training regarding gender identity, sexual orientation, race stereotyping, and sex stereotyping for students. The release criticizes the legislation as discriminatory and a direct effort to marginalize women, people of colour, and LGBTQ+ Oklahomans, urging Governor Stitt to veto the harmful legislation.</w:t>
      </w:r>
      <w:r/>
    </w:p>
    <w:p>
      <w:pPr>
        <w:pStyle w:val="ListNumber"/>
        <w:spacing w:line="240" w:lineRule="auto"/>
        <w:ind w:left="720"/>
      </w:pPr>
      <w:r/>
      <w:hyperlink r:id="rId14">
        <w:r>
          <w:rPr>
            <w:color w:val="0000EE"/>
            <w:u w:val="single"/>
          </w:rPr>
          <w:t>https://www.acluok.org/press-releases/aclu-aclu-oklahoma-lawyers-committee-file-lawsuit-challenging-oklahoma-classroom</w:t>
        </w:r>
      </w:hyperlink>
      <w:r>
        <w:t xml:space="preserve"> - This press release from the ACLU of Oklahoma announces a lawsuit challenging Oklahoma's House Bill 1775, which bans certain discussions on race and sex in educational settings. The lawsuit argues that the law is an unlawful restraint on freedom of expression and intentionally targets and denies access to equitable, culturally relevant teaching and ideas that reflect the history and lived experiences of Black, Indigenous, and other people of colour; women and girls; and LGBTQ+ students.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review.org/supporting-lgbtq-students-in-red-states/" TargetMode="External"/><Relationship Id="rId10" Type="http://schemas.openxmlformats.org/officeDocument/2006/relationships/hyperlink" Target="https://www.kff.org/lgbtq/gender-affirming-care-policy-tracker/" TargetMode="External"/><Relationship Id="rId11" Type="http://schemas.openxmlformats.org/officeDocument/2006/relationships/hyperlink" Target="https://www.hrc.org/press-releases/oklahoma-gov-kevin-stitt-signs-discriminatory-diversity-training-ban-into-law" TargetMode="External"/><Relationship Id="rId12" Type="http://schemas.openxmlformats.org/officeDocument/2006/relationships/hyperlink" Target="https://www.kosu.org/show/stateimpact-oklahoma/2022-09-08/faq-what-we-know-about-teaching-since-oklahomas-so-called-critical-race-theory-ban-went-into-effect" TargetMode="External"/><Relationship Id="rId13" Type="http://schemas.openxmlformats.org/officeDocument/2006/relationships/hyperlink" Target="https://www.acluok.org/press-releases/federal-court-partially-halts-oklahomas-classroom-censorship-law" TargetMode="External"/><Relationship Id="rId14" Type="http://schemas.openxmlformats.org/officeDocument/2006/relationships/hyperlink" Target="https://www.acluok.org/press-releases/aclu-aclu-oklahoma-lawyers-committee-file-lawsuit-challenging-oklahoma-classroom" TargetMode="External"/><Relationship Id="rId15" Type="http://schemas.openxmlformats.org/officeDocument/2006/relationships/hyperlink" Target="https://www.hrc.org/press-releases/oklahoma-state-legislature-sends-discriminatory-diversity-training-ban-to-governor-stitts-de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