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Teach Respect: Why Schools Should Lead on Diversity Education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children mirror the world they grow up in , and why what they learn at school about gender, families and dignity matters for the whole country. This piece looks at who’s arguing over “gender ideology”, what’s at stake for girls, boys and LGBTIQ+ youth in Colombia, and practical steps schools and policymakers can take to protect childhoods.</w:t>
      </w:r>
      <w:r/>
    </w:p>
    <w:p>
      <w:r/>
      <w:r>
        <w:t>Essential Takeaways</w:t>
      </w:r>
      <w:r/>
      <w:r/>
    </w:p>
    <w:p>
      <w:pPr>
        <w:pStyle w:val="ListBullet"/>
        <w:spacing w:line="240" w:lineRule="auto"/>
        <w:ind w:left="720"/>
      </w:pPr>
      <w:r/>
      <w:r>
        <w:rPr>
          <w:b/>
        </w:rPr>
        <w:t>Hate is taught:</w:t>
      </w:r>
      <w:r>
        <w:t xml:space="preserve"> Language, jokes and public speeches can normalise contempt and escalate into discrimination or violence. </w:t>
      </w:r>
      <w:r/>
    </w:p>
    <w:p>
      <w:pPr>
        <w:pStyle w:val="ListBullet"/>
        <w:spacing w:line="240" w:lineRule="auto"/>
        <w:ind w:left="720"/>
      </w:pPr>
      <w:r/>
      <w:r>
        <w:rPr>
          <w:b/>
        </w:rPr>
        <w:t>Progress stems from struggle:</w:t>
      </w:r>
      <w:r>
        <w:t xml:space="preserve"> Advances for women and LGBTIQ+ people come from decades of social movements and costly activism. </w:t>
      </w:r>
      <w:r/>
    </w:p>
    <w:p>
      <w:pPr>
        <w:pStyle w:val="ListBullet"/>
        <w:spacing w:line="240" w:lineRule="auto"/>
        <w:ind w:left="720"/>
      </w:pPr>
      <w:r/>
      <w:r>
        <w:rPr>
          <w:b/>
        </w:rPr>
        <w:t>Education’s role:</w:t>
      </w:r>
      <w:r>
        <w:t xml:space="preserve"> Teaching diversity is about preventing abuse and exclusion, not promoting any particular identity. </w:t>
      </w:r>
      <w:r/>
    </w:p>
    <w:p>
      <w:pPr>
        <w:pStyle w:val="ListBullet"/>
        <w:spacing w:line="240" w:lineRule="auto"/>
        <w:ind w:left="720"/>
      </w:pPr>
      <w:r/>
      <w:r>
        <w:rPr>
          <w:b/>
        </w:rPr>
        <w:t>Practical fix:</w:t>
      </w:r>
      <w:r>
        <w:t xml:space="preserve"> Open, evidence-based dialogue and technical review panels can improve curricula without erasing protections. </w:t>
      </w:r>
      <w:r/>
    </w:p>
    <w:p>
      <w:pPr>
        <w:pStyle w:val="ListBullet"/>
        <w:spacing w:line="240" w:lineRule="auto"/>
        <w:ind w:left="720"/>
      </w:pPr>
      <w:r/>
      <w:r>
        <w:rPr>
          <w:b/>
        </w:rPr>
        <w:t>Emotional reality:</w:t>
      </w:r>
      <w:r>
        <w:t xml:space="preserve"> Children in diverse families exist and need recognition, safety and clear routes to help.</w:t>
      </w:r>
      <w:r/>
      <w:r/>
    </w:p>
    <w:p>
      <w:pPr>
        <w:pStyle w:val="Heading2"/>
      </w:pPr>
      <w:r>
        <w:t>Why every classroom becomes a mirror , and why that matters</w:t>
      </w:r>
      <w:r/>
    </w:p>
    <w:p>
      <w:r/>
      <w:r>
        <w:t>Schools are where kids first test the world beyond home, and you'll notice the atmosphere: friendly, hostile, curious or frightened. When authorities frame diversity as a threat, those words echo in corridors and playgrounds, making some children feel unsafe. According to reporting and civil-society accounts, Colombia’s long history of violence means even casual contempt can harden into exclusion or worse. That’s why education policy needs to treat language and representation as safety tools, not culture-war prizes.</w:t>
      </w:r>
      <w:r/>
    </w:p>
    <w:p>
      <w:pPr>
        <w:pStyle w:val="Heading2"/>
      </w:pPr>
      <w:r>
        <w:t>What the debate over "gender ideology" is really about</w:t>
      </w:r>
      <w:r/>
    </w:p>
    <w:p>
      <w:r/>
      <w:r>
        <w:t>The phrase “ideology of gender” has become shorthand for a political fight that pits certain religious and conservative views against rights-based approaches. But behind the slogan are real lives: students questioning their identity, children from diverse families and girls facing gendered violence. International and regional discussions have fed both advances and pushbacks, so it's important to judge proposals by their effects on dignity and protection, not their provenance. Policymakers should ask whether a policy reduces harm or deepens fear.</w:t>
      </w:r>
      <w:r/>
    </w:p>
    <w:p>
      <w:pPr>
        <w:pStyle w:val="Heading2"/>
      </w:pPr>
      <w:r>
        <w:t>Lessons from decades of activism and painful headlines</w:t>
      </w:r>
      <w:r/>
    </w:p>
    <w:p>
      <w:r/>
      <w:r>
        <w:t>Progress in recognising diverse families and protecting women and LGBTIQ+ people didn't arrive spontaneously. It was won through marches, litigation and lives risked. The press has documented brutal reminders , femicides and threats against activists , that show why protections matter. Those hard-won gains translated into policies, reporting mechanisms and prevention programmes that schools and child services now use. Scrapping or ignoring those measures risks erasing protections that vulnerable children and adults depend on.</w:t>
      </w:r>
      <w:r/>
    </w:p>
    <w:p>
      <w:pPr>
        <w:pStyle w:val="Heading2"/>
      </w:pPr>
      <w:r>
        <w:t>How schools can teach diversity without “indoctrinating”</w:t>
      </w:r>
      <w:r/>
    </w:p>
    <w:p>
      <w:r/>
      <w:r>
        <w:t>Teaching diversity isn't about instructing children in an orientation or identity; it's about creating skills to spot abuse, challenge stereotypes and live with difference. Practical classroom steps include age-appropriate materials about family variety, training for teachers to intervene in bullying, and clear protocols for reporting sexual violence. Institutions like the ministry of equality already run programmes addressing violence against women; education can and should align with similar safeguards for children and LGBTIQ+ students.</w:t>
      </w:r>
      <w:r/>
    </w:p>
    <w:p>
      <w:pPr>
        <w:pStyle w:val="Heading2"/>
      </w:pPr>
      <w:r>
        <w:t>A realistic path: dialogue, technical review and listening</w:t>
      </w:r>
      <w:r/>
    </w:p>
    <w:p>
      <w:r/>
      <w:r>
        <w:t>Replacing one set of certainties with another won't solve conflict. A better route is an open national conversation that brings together parents, teachers, religious leaders, experts, social movements and young people themselves. Set up a technical review panel to audit curricula and materials, preserve what protects rights, and recommend clear, evidence-based improvements. Listening is not surrendering , it's governance. Leaders advising educational policy should seek counsel from organisations experienced in child protection and inclusion.</w:t>
      </w:r>
      <w:r/>
    </w:p>
    <w:p>
      <w:pPr>
        <w:pStyle w:val="Heading2"/>
      </w:pPr>
      <w:r>
        <w:t>What to watch for next , language, policy and responsibility</w:t>
      </w:r>
      <w:r/>
    </w:p>
    <w:p>
      <w:r/>
      <w:r>
        <w:t>Words from the top carry weight. When ministers and agency heads speak, they either reassure a frightened child or validate prejudice. Watch whether institutions commit to consultation, transparent review and safeguarding measures, or whether they rush to erase existing protections. If authorities call for revisions, demand a technical, public process with measurable criteria and timelines so decisions are accountable and grounded in evidence.</w:t>
      </w:r>
      <w:r/>
    </w:p>
    <w:p>
      <w:r/>
      <w:r>
        <w:t>It's a small change to insist our schools teach respect, but it can make every childhood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[2]</w:t>
        </w:r>
      </w:hyperlink>
      <w:r>
        <w:t xml:space="preserve">- Paragraph 2: </w:t>
      </w:r>
      <w:hyperlink r:id="rId10">
        <w:r>
          <w:rPr>
            <w:color w:val="0000EE"/>
            <w:u w:val="single"/>
          </w:rPr>
          <w:t>[6]</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[3]</w:t>
        </w:r>
      </w:hyperlink>
      <w:r>
        <w:t xml:space="preserve">- Paragraph 4: </w:t>
      </w:r>
      <w:hyperlink r:id="rId11">
        <w:r>
          <w:rPr>
            <w:color w:val="0000EE"/>
            <w:u w:val="single"/>
          </w:rPr>
          <w:t>[2]</w:t>
        </w:r>
      </w:hyperlink>
      <w:r>
        <w:t xml:space="preserve">, </w:t>
      </w:r>
      <w:hyperlink r:id="rId10">
        <w:r>
          <w:rPr>
            <w:color w:val="0000EE"/>
            <w:u w:val="single"/>
          </w:rPr>
          <w:t>[6]</w:t>
        </w:r>
      </w:hyperlink>
      <w:r>
        <w:t xml:space="preserve">- Paragraph 5: </w:t>
      </w:r>
      <w:hyperlink r:id="rId12">
        <w:r>
          <w:rPr>
            <w:color w:val="0000EE"/>
            <w:u w:val="single"/>
          </w:rPr>
          <w:t>[4]</w:t>
        </w:r>
      </w:hyperlink>
      <w:r>
        <w:t xml:space="preserve">, </w:t>
      </w:r>
      <w:hyperlink r:id="rId10">
        <w:r>
          <w:rPr>
            <w:color w:val="0000EE"/>
            <w:u w:val="single"/>
          </w:rPr>
          <w:t>[6]</w:t>
        </w:r>
      </w:hyperlink>
      <w:r>
        <w:t xml:space="preserve">- Paragraph 6: </w:t>
      </w:r>
      <w:hyperlink r:id="rId11">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https://www.publimetro.co/opinion/2026/09/01/opinion-el-odio-tambien-se-aprende/</w:t>
        </w:r>
      </w:hyperlink>
      <w:r>
        <w:t xml:space="preserve"> - Please view link - unable to able to access data</w:t>
      </w:r>
      <w:r/>
    </w:p>
    <w:p>
      <w:pPr>
        <w:pStyle w:val="ListNumber"/>
        <w:spacing w:line="240" w:lineRule="auto"/>
        <w:ind w:left="720"/>
      </w:pPr>
      <w:r/>
      <w:hyperlink r:id="rId11">
        <w:r>
          <w:rPr>
            <w:color w:val="0000EE"/>
            <w:u w:val="single"/>
          </w:rPr>
          <w:t>https://www.minigualdadyequidad.gov.co/programa-abordaje-integral-violencias-contra-mujeres</w:t>
        </w:r>
      </w:hyperlink>
      <w:r>
        <w:t xml:space="preserve"> - The Colombian Ministry of Equality and Equity has implemented a comprehensive programme aimed at ensuring women's right to a life free from violence. This initiative focuses on prevention, timely response, and cultural transformation to eliminate violence. It includes activating an integral human security model for women, implementing a national system for recording and monitoring cases, and promoting cultural change to eradicate violence and societal tolerance towards it. The programme targets women and LGBTIQ+ individuals who have experienced gender-based violence, as well as their families and perpetrators, offering support and resources to all involved.</w:t>
      </w:r>
      <w:r/>
    </w:p>
    <w:p>
      <w:pPr>
        <w:pStyle w:val="ListNumber"/>
        <w:spacing w:line="240" w:lineRule="auto"/>
        <w:ind w:left="720"/>
      </w:pPr>
      <w:r/>
      <w:hyperlink r:id="rId14">
        <w:r>
          <w:rPr>
            <w:color w:val="0000EE"/>
            <w:u w:val="single"/>
          </w:rPr>
          <w:t>https://elpais.com/america-colombia/branded/los-lideres-de-colombia/2025/12/11/maria-victoria-palacios-el-liderazgo-trans-que-tumba-barreras-para-defender-derechos.html</w:t>
        </w:r>
      </w:hyperlink>
      <w:r>
        <w:t xml:space="preserve"> - Maria Victoria Palacios Romaña, an Afro-Colombian trans woman from Quibdó, Chocó, has emerged as a prominent leader in defending the rights of the LGBTIQ+ community in Colombia. In 2018, she achieved a legal victory to access gender-affirming hormone treatment, motivating her to establish Latidos Chocó, an organisation providing legal and psychosocial support to Afro trans individuals. Her activism occurs within a context of systemic violence and discrimination, even from state institutions. Palacios has been nationally and internationally recognised for her work, including a nomination for the National Human Rights Award in 2025.</w:t>
      </w:r>
      <w:r/>
    </w:p>
    <w:p>
      <w:pPr>
        <w:pStyle w:val="ListNumber"/>
        <w:spacing w:line="240" w:lineRule="auto"/>
        <w:ind w:left="720"/>
      </w:pPr>
      <w:r/>
      <w:hyperlink r:id="rId12">
        <w:r>
          <w:rPr>
            <w:color w:val="0000EE"/>
            <w:u w:val="single"/>
          </w:rPr>
          <w:t>https://elpais.com/america-colombia/2026/04/09/politica-exterior-feminista-liderazgo-participativo-para-la-agenda-global-de-la-igualdad.html</w:t>
        </w:r>
      </w:hyperlink>
      <w:r>
        <w:t xml:space="preserve"> - Colombia has evolved its foreign policy to adopt a feminist approach, formalised through the Feminist Foreign Policy (PEF) established by Decree 270 of 2026. This policy centres on the rights of women, LGBTIQ+ individuals, and diverse communities, marking a significant shift in the country's international relations. Developed collaboratively with over 45 women's organisations, social movements, and the diplomatic service, the PEF is based on five pillars: social justice, environmental justice, positive peace, education/culture/science, and institutional strengthening. It operates under pacifist, intersectional, and participatory principles, both domestically and internationally, reaffirming Colombia's commitment to human rights and active civil society participation.</w:t>
      </w:r>
      <w:r/>
    </w:p>
    <w:p>
      <w:pPr>
        <w:pStyle w:val="ListNumber"/>
        <w:spacing w:line="240" w:lineRule="auto"/>
        <w:ind w:left="720"/>
      </w:pPr>
      <w:r/>
      <w:hyperlink r:id="rId13">
        <w:r>
          <w:rPr>
            <w:color w:val="0000EE"/>
            <w:u w:val="single"/>
          </w:rPr>
          <w:t>https://elpais.com/america-colombia/2026/03/06/asesinan-en-manizales-a-daniela-una-nueva-victima-de-feminicidio.html</w:t>
        </w:r>
      </w:hyperlink>
      <w:r>
        <w:t xml:space="preserve"> - Daniela, a 30-year-old trans woman from Riohacha, La Guajira, was fatally shot on February 25, 2026, in Manizales, passing away a week later. The alleged assailant, William Noreña Vásquez, deputy manager of the Institute of Financing, Promotion, and Development of Caldas (Inficaldas) and former mayor of Filadelfia, was arrested the same day but claimed self-defence. This incident marks the twelfth murder of a trans woman in Colombia in 2026, according to records from the Caribbean Affirmative Observatory. The case occurred shortly after a presidential directive urging state entities to implement measures to prevent violence and discrimination against the LGBTIQ+ community.</w:t>
      </w:r>
      <w:r/>
    </w:p>
    <w:p>
      <w:pPr>
        <w:pStyle w:val="ListNumber"/>
        <w:spacing w:line="240" w:lineRule="auto"/>
        <w:ind w:left="720"/>
      </w:pPr>
      <w:r/>
      <w:hyperlink r:id="rId10">
        <w:r>
          <w:rPr>
            <w:color w:val="0000EE"/>
            <w:u w:val="single"/>
          </w:rPr>
          <w:t>https://elpais.com/america-colombia/2026/07/27/colectivos-lgtbiq-refuerzan-su-lucha-ante-los-riesgos-antiderechos-no-dejaremos-de-existir.html</w:t>
        </w:r>
      </w:hyperlink>
      <w:r>
        <w:t xml:space="preserve"> - In response to potential setbacks in rights acquired by the LGTBIQ+ community in Colombia, collectives are intensifying their activism under the new government of Abelardo de la Espriella, known for his ultraconservative stance. Despite legal advancements like adoption and same-sex marriage, the president-elect and his future Minister of Education, Viviane Morales, have expressed opposition to sexual and family diversity, raising concerns about possible cuts in public policies and budgets. The LGTBIQ+ sector fears negative impacts on areas such as comprehensive sexual education and healthcare access for trans individuals, citing precedents in countries like the USA and Argentina. Morales previously promoted a restrictive referendum on adoption and criticised inclusive educational initiatives. The community mobilises with strengthened social support and legal backing, appealing to the secular nature of the state and constitutional court rulings that prohibit discrimination. Organisations like Colombia Diversa and Caribbean Affirmative warn of increased stigma, violence, and mental health consequences as real risks of this anti-rights agenda.</w:t>
      </w:r>
      <w:r/>
    </w:p>
    <w:p>
      <w:pPr>
        <w:pStyle w:val="ListNumber"/>
        <w:spacing w:line="240" w:lineRule="auto"/>
        <w:ind w:left="720"/>
      </w:pPr>
      <w:r/>
      <w:hyperlink r:id="rId15">
        <w:r>
          <w:rPr>
            <w:color w:val="0000EE"/>
            <w:u w:val="single"/>
          </w:rPr>
          <w:t>https://elpais.com/america-colombia/2026/06/10/el-congreso-de-colombia-prohibe-la-mutilacion-genital-femenina.html</w:t>
        </w:r>
      </w:hyperlink>
      <w:r>
        <w:t xml:space="preserve"> - The Colombian Congress has passed a law prohibiting female genital mutilation (FGM), becoming the first Latin American country to legislate specifically against this practice, recognised as a form of gender-based violence. The project, which took two years to approve, adopts a preventive and educational approach rather than a punitive one, and includes the creation of a national public policy for its eradication, as well as strengthening information systems for better case registration. The initiative was primarily driven by indigenous communities, including the Embera people, where this practice has been most documented, and by leaders like Claudia Queragama and Juliana Domicó. The project also received active support from several congresswomen. Although current figures indicate 54 reported cases in 2024, experts warn of significant underreporting. Presidential sanction is still pending, and effective implementation is necessary to ensure this law is not merely theoretical. Indigenous leaders celebrate this advance as a historic achievement for the protection of Colombian girls.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ublimetro.co/opinion/2026/09/01/opinion-el-odio-tambien-se-aprende/" TargetMode="External"/><Relationship Id="rId10" Type="http://schemas.openxmlformats.org/officeDocument/2006/relationships/hyperlink" Target="https://elpais.com/america-colombia/2026/07/27/colectivos-lgtbiq-refuerzan-su-lucha-ante-los-riesgos-antiderechos-no-dejaremos-de-existir.html" TargetMode="External"/><Relationship Id="rId11" Type="http://schemas.openxmlformats.org/officeDocument/2006/relationships/hyperlink" Target="https://www.minigualdadyequidad.gov.co/programa-abordaje-integral-violencias-contra-mujeres" TargetMode="External"/><Relationship Id="rId12" Type="http://schemas.openxmlformats.org/officeDocument/2006/relationships/hyperlink" Target="https://elpais.com/america-colombia/2026/04/09/politica-exterior-feminista-liderazgo-participativo-para-la-agenda-global-de-la-igualdad.html" TargetMode="External"/><Relationship Id="rId13" Type="http://schemas.openxmlformats.org/officeDocument/2006/relationships/hyperlink" Target="https://elpais.com/america-colombia/2026/03/06/asesinan-en-manizales-a-daniela-una-nueva-victima-de-feminicidio.html" TargetMode="External"/><Relationship Id="rId14" Type="http://schemas.openxmlformats.org/officeDocument/2006/relationships/hyperlink" Target="https://elpais.com/america-colombia/branded/los-lideres-de-colombia/2025/12/11/maria-victoria-palacios-el-liderazgo-trans-que-tumba-barreras-para-defender-derechos.html" TargetMode="External"/><Relationship Id="rId15" Type="http://schemas.openxmlformats.org/officeDocument/2006/relationships/hyperlink" Target="https://elpais.com/america-colombia/2026/06/10/el-congreso-de-colombia-prohibe-la-mutilacion-genital-femenina.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