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 to Fix Section 18: Making the Transgender Amendment Act 2026 Work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legal reform and rights advocates have noticed a troubling mismatch in the Transgender Persons (Protection of Rights) Amendment Act, 2026; the law aims to protect but its Section 18’s drafting quirks leave victims unprotected and allies at risk, so targeted redrafting matters for real-world safety.</w:t>
      </w:r>
      <w:r/>
    </w:p>
    <w:p>
      <w:r/>
      <w:r>
        <w:t>Essential Takeaways</w:t>
      </w:r>
      <w:r/>
      <w:r/>
    </w:p>
    <w:p>
      <w:pPr>
        <w:pStyle w:val="ListBullet"/>
        <w:spacing w:line="240" w:lineRule="auto"/>
        <w:ind w:left="720"/>
      </w:pPr>
      <w:r/>
      <w:r>
        <w:rPr>
          <w:b/>
        </w:rPr>
        <w:t>Narrow harm test:</w:t>
      </w:r>
      <w:r>
        <w:t xml:space="preserve"> Section 18(g)’s use of “against the will” risks missing cases where people were lured or induced rather than physically resisted, leaving many victims unprotected. </w:t>
      </w:r>
      <w:r/>
    </w:p>
    <w:p>
      <w:pPr>
        <w:pStyle w:val="ListBullet"/>
        <w:spacing w:line="240" w:lineRule="auto"/>
        <w:ind w:left="720"/>
      </w:pPr>
      <w:r/>
      <w:r>
        <w:rPr>
          <w:b/>
        </w:rPr>
        <w:t>Overbroad wording:</w:t>
      </w:r>
      <w:r>
        <w:t xml:space="preserve"> Phrases like “cause” in s.18(c) lack intent qualifiers, so helpful actors, social workers, shelters, therapists, could face prosecution or chilling effects. </w:t>
      </w:r>
      <w:r/>
    </w:p>
    <w:p>
      <w:pPr>
        <w:pStyle w:val="ListBullet"/>
        <w:spacing w:line="240" w:lineRule="auto"/>
        <w:ind w:left="720"/>
      </w:pPr>
      <w:r/>
      <w:r>
        <w:rPr>
          <w:b/>
        </w:rPr>
        <w:t>Vague presentation rule:</w:t>
      </w:r>
      <w:r>
        <w:t xml:space="preserve"> Criminalising compelled “outward presentation” of a transgender identity without definition conflicts with NALSA’s self‑identification principle and invites arbitrary interpretation. </w:t>
      </w:r>
      <w:r/>
    </w:p>
    <w:p>
      <w:pPr>
        <w:pStyle w:val="ListBullet"/>
        <w:spacing w:line="240" w:lineRule="auto"/>
        <w:ind w:left="720"/>
      </w:pPr>
      <w:r/>
      <w:r>
        <w:rPr>
          <w:b/>
        </w:rPr>
        <w:t>Fixes are straightforward:</w:t>
      </w:r>
      <w:r>
        <w:t xml:space="preserve"> Recasting the harm standard to “against the will or without consent,” adding an intent or “wrongfully causes” qualifier, and anchoring definitions in self‑identification would align protection with purpose. </w:t>
      </w:r>
      <w:r/>
      <w:r/>
    </w:p>
    <w:p>
      <w:pPr>
        <w:pStyle w:val="Heading2"/>
      </w:pPr>
      <w:r>
        <w:t>Why “against the will” falls short , and it feels raw for victims</w:t>
      </w:r>
      <w:r/>
    </w:p>
    <w:p>
      <w:r/>
      <w:r>
        <w:t>Start with the language: “against the will” is a tighter, more visible standard than “without consent,” and that matters because inducement rarely produces visible resistance. According to commentary and case law, will implies active opposition, while consent covers situations where apparent agreement was manufactured. So if someone entices a destitute person into publicly assuming a transgender identity with money or false promises, that person may outwardly comply without resisting, and under s.18(g) this could slip through the gaps. The result is not just legal hair-splitting; it’s an emotional gap for survivors whose experience of coercion is minimised by a narrow test.</w:t>
      </w:r>
      <w:r/>
    </w:p>
    <w:p>
      <w:r/>
      <w:r>
        <w:t>This problem isn’t theoretical. Analysts and practitioners have flagged that where inducement, allurement, or deception are the tools, “will” often can’t be shown with documentary ease. Evidence of internal pressure is notoriously hard to prove, which gives defendants a ready defence and prosecutors a harder case. The upshot: the specialised provision intended to capture identity‑based exploitation may underperform, pushing cases back into general kidnapping or trafficking laws that don’t fully map the harm.</w:t>
      </w:r>
      <w:r/>
    </w:p>
    <w:p>
      <w:pPr>
        <w:pStyle w:val="Heading2"/>
      </w:pPr>
      <w:r>
        <w:t>When “helping” looks like “causing” , the chilling effect on support</w:t>
      </w:r>
      <w:r/>
    </w:p>
    <w:p>
      <w:r/>
      <w:r>
        <w:t>Section 18(c) now reads in a way that could criminalise those who “cause” a transgender person to leave an abusive home without specifying intent or harm. In everyday practice, community groups, shelters and even family members sometimes “cause” relocation to protect someone’s safety. Without a clear mens rea, words like “wrongfully” or “with intent to exploit”, these actors could face investigation or prosecution, and that uncertainty chills assistance. People in crisis shouldn’t have to weigh whether escaping abuse will land their helpers in court.</w:t>
      </w:r>
      <w:r/>
    </w:p>
    <w:p>
      <w:r/>
      <w:r>
        <w:t>This is not to say courts will automatically criminalise helpers, but the statute creates a risk that lingers until clarified by Parliament or the judiciary. The safer route is to narrow the offence to exploitative conduct, so that rescue or therapeutic support is explicitly excluded. That protects both victims and those who stand with them.</w:t>
      </w:r>
      <w:r/>
    </w:p>
    <w:p>
      <w:pPr>
        <w:pStyle w:val="Heading2"/>
      </w:pPr>
      <w:r>
        <w:t>Outward presentation: a fuzzy concept at odds with NALSA</w:t>
      </w:r>
      <w:r/>
    </w:p>
    <w:p>
      <w:r/>
      <w:r>
        <w:t>Criminalising the compulsion to “dress, present, or conduct themselves outwardly as a transgender person” treats identity as a costume, not an inner truth. NALSA established that gender identity is internal and self‑determined; presentation is a reflection, not the origin. The Act’s behavioural framing risks stereotyping and forces courts to invent tests: is a saree, a haircut, or a mannerism enough to count as “presenting” a transgender identity? That uncertainty invites arbitrary enforcement and conflates gender non‑conformity with transgender identity.</w:t>
      </w:r>
      <w:r/>
    </w:p>
    <w:p>
      <w:r/>
      <w:r>
        <w:t>A clearer route is to anchor definitions in self‑determination language, someone whose gender doesn’t match their assigned sex at birth or who identifies as transgender, so the law protects identity, not policing of clothes or mannerisms. That aligns statutory vocabulary with NALSA and reduces the risk that benign gender expression will be treated as criminalised evidence.</w:t>
      </w:r>
      <w:r/>
    </w:p>
    <w:p>
      <w:pPr>
        <w:pStyle w:val="Heading2"/>
      </w:pPr>
      <w:r>
        <w:t>Practical redrafts that actually help people</w:t>
      </w:r>
      <w:r/>
    </w:p>
    <w:p>
      <w:r/>
      <w:r>
        <w:t>Fixes are practical and proportionate. First, change s.18(g) so it criminalises compelling a person to suppress, conceal, or alter their gender expression or to assume an identity “against the will or without consent,” which captures inducement and undue influence. Second, add intent language, “wrongfully causes” or “with intent to exploit or harm”, to s.18(c) (and s.18(g) where relevant) so rescue and therapeutic support are safe. Third, recast s.2(k)(ii) and related definitions to centre self‑identification rather than outward presentation, removing vague catch‑alls like “or otherwise.”</w:t>
      </w:r>
      <w:r/>
    </w:p>
    <w:p>
      <w:r/>
      <w:r>
        <w:t>These amendments wouldn’t rewrite policy; they’d realign the Act with its stated objects and with constitutional and judicially affirmed principles. They’d also preserve protections against trafficking, compulsion and exploitation while safeguarding those who offer refuge and care.</w:t>
      </w:r>
      <w:r/>
    </w:p>
    <w:p>
      <w:pPr>
        <w:pStyle w:val="Heading2"/>
      </w:pPr>
      <w:r>
        <w:t>What this means for community and courts</w:t>
      </w:r>
      <w:r/>
    </w:p>
    <w:p>
      <w:r/>
      <w:r>
        <w:t>Lawmakers intended to strengthen protections but the current drafting creates both protection gaps and overreach. Courts can offer corrections over time, but the best route is legislative precision now. Organisations working with trans communities should press for redrafts and, in the meanwhile, document cases where inducement or supportive relocation occurs so reformers have concrete examples. Clinicians and shelters need clear internal policies that explain intent and consent to minimise legal exposure until the law is clarified.</w:t>
      </w:r>
      <w:r/>
    </w:p>
    <w:p>
      <w:r/>
      <w:r>
        <w:t>Legislative language matters; small words change lives. Getting Section 18 right is not a technicality but a safeguard for dignity, safety and the promise of NALSA.</w:t>
      </w:r>
      <w:r/>
    </w:p>
    <w:p>
      <w:r/>
      <w:r>
        <w:t>It's a legal tweak that could make the Act a real shield, not a paper one.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2">
        <w:r>
          <w:rPr>
            <w:color w:val="0000EE"/>
            <w:u w:val="single"/>
          </w:rPr>
          <w:t>[5]</w:t>
        </w:r>
      </w:hyperlink>
      <w:r>
        <w:t xml:space="preserve">- Paragraph 3: </w:t>
      </w:r>
      <w:hyperlink r:id="rId9">
        <w:r>
          <w:rPr>
            <w:color w:val="0000EE"/>
            <w:u w:val="single"/>
          </w:rPr>
          <w:t>[1]</w:t>
        </w:r>
      </w:hyperlink>
      <w:r>
        <w:t xml:space="preserve">, </w:t>
      </w:r>
      <w:hyperlink r:id="rId13">
        <w:r>
          <w:rPr>
            <w:color w:val="0000EE"/>
            <w:u w:val="single"/>
          </w:rPr>
          <w:t>[6]</w:t>
        </w:r>
      </w:hyperlink>
      <w:r>
        <w:t xml:space="preserve">- Paragraph 4: </w:t>
      </w:r>
      <w:hyperlink r:id="rId9">
        <w:r>
          <w:rPr>
            <w:color w:val="0000EE"/>
            <w:u w:val="single"/>
          </w:rPr>
          <w:t>[1]</w:t>
        </w:r>
      </w:hyperlink>
      <w:r>
        <w:t xml:space="preserve">, </w:t>
      </w:r>
      <w:hyperlink r:id="rId14">
        <w:r>
          <w:rPr>
            <w:color w:val="0000EE"/>
            <w:u w:val="single"/>
          </w:rPr>
          <w:t>[7]</w:t>
        </w:r>
      </w:hyperlink>
      <w:r>
        <w:t xml:space="preserve">- Paragraph 5: </w:t>
      </w:r>
      <w:hyperlink r:id="rId9">
        <w:r>
          <w:rPr>
            <w:color w:val="0000EE"/>
            <w:u w:val="single"/>
          </w:rPr>
          <w:t>[1]</w:t>
        </w:r>
      </w:hyperlink>
      <w:r>
        <w:t xml:space="preserve">, </w:t>
      </w:r>
      <w:hyperlink r:id="rId10">
        <w:r>
          <w:rPr>
            <w:color w:val="0000EE"/>
            <w:u w:val="single"/>
          </w:rPr>
          <w:t>[3]</w:t>
        </w:r>
      </w:hyperlink>
      <w:r>
        <w:t xml:space="preserve">- Paragraph 6: </w:t>
      </w:r>
      <w:hyperlink r:id="rId12">
        <w:r>
          <w:rPr>
            <w:color w:val="0000EE"/>
            <w:u w:val="single"/>
          </w:rPr>
          <w:t>[5]</w:t>
        </w:r>
      </w:hyperlink>
      <w:r>
        <w:t xml:space="preserve">, </w:t>
      </w:r>
      <w:hyperlink r:id="rId11">
        <w:r>
          <w:rPr>
            <w:color w:val="0000EE"/>
            <w:u w:val="single"/>
          </w:rPr>
          <w:t>[4]</w:t>
        </w:r>
      </w:hyperlink>
      <w:r>
        <w:t xml:space="preserve">- Paragraph 7: </w:t>
      </w:r>
      <w:hyperlink r:id="rId15">
        <w:r>
          <w:rPr>
            <w:color w:val="0000EE"/>
            <w:u w:val="single"/>
          </w:rPr>
          <w:t>[2]</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https://lawschoolpolicyreview.com/2026/08/31/paper-shield-the-internal-contradictions-of-section-18-of-the-transgender-persons-amendment-act-2026/</w:t>
        </w:r>
      </w:hyperlink>
      <w:r>
        <w:t xml:space="preserve"> - Please view link - unable to able to access data</w:t>
      </w:r>
      <w:r/>
    </w:p>
    <w:p>
      <w:pPr>
        <w:pStyle w:val="ListNumber"/>
        <w:spacing w:line="240" w:lineRule="auto"/>
        <w:ind w:left="720"/>
      </w:pPr>
      <w:r/>
      <w:hyperlink r:id="rId15">
        <w:r>
          <w:rPr>
            <w:color w:val="0000EE"/>
            <w:u w:val="single"/>
          </w:rPr>
          <w:t>https://link.springer.com/article/10.1186/s12982-026-02494-w</w:t>
        </w:r>
      </w:hyperlink>
      <w:r>
        <w:t xml:space="preserve"> - This article examines the public health implications of the Transgender Persons (Protection of Rights) Amendment Act, 2026, highlighting concerns about its restrictive, medicalised framework and potential exclusion of self-identified gender diverse individuals. It discusses the Act's departure from recognising self-determined gender identity and its potential to reinforce conflations between intersex variations and transgender identities, raising alarms among transgender, gender diverse, and intersex communities, as well as public health and legal professionals.</w:t>
      </w:r>
      <w:r/>
    </w:p>
    <w:p>
      <w:pPr>
        <w:pStyle w:val="ListNumber"/>
        <w:spacing w:line="240" w:lineRule="auto"/>
        <w:ind w:left="720"/>
      </w:pPr>
      <w:r/>
      <w:hyperlink r:id="rId10">
        <w:r>
          <w:rPr>
            <w:color w:val="0000EE"/>
            <w:u w:val="single"/>
          </w:rPr>
          <w:t>https://indianexpress.com/article/explained/explained-law/transgender-amendment-act-2026-gender-identity-10612104/</w:t>
        </w:r>
      </w:hyperlink>
      <w:r>
        <w:t xml:space="preserve"> - This piece reflects on a decade of legal battles over gender identity in India, focusing on the Transgender Persons (Protection of Rights) Amendment Act, 2026. It contrasts the Act's provisions with the Supreme Court's NALSA judgment, noting a shift from expanding transgender rights to introducing bureaucratic hurdles. The article highlights the Act's departure from recognising self-identified gender identity and its potential to undermine the rights and liberties of the transgender community.</w:t>
      </w:r>
      <w:r/>
    </w:p>
    <w:p>
      <w:pPr>
        <w:pStyle w:val="ListNumber"/>
        <w:spacing w:line="240" w:lineRule="auto"/>
        <w:ind w:left="720"/>
      </w:pPr>
      <w:r/>
      <w:hyperlink r:id="rId11">
        <w:r>
          <w:rPr>
            <w:color w:val="0000EE"/>
            <w:u w:val="single"/>
          </w:rPr>
          <w:t>https://www.scconline.com/blog/post/2026/05/28/transgender-persons-protection-of-rights-amendment-act-2026-key-changes-india/</w:t>
        </w:r>
      </w:hyperlink>
      <w:r>
        <w:t xml:space="preserve"> - This analysis outlines key changes introduced by the Transgender Persons (Protection of Rights) Amendment Act, 2026, effective from 25 May 2026. It details revisions to definitions, including the removal of the explicit right to self-perceived gender identity, and updates to identity certification and gender change procedures. The article provides a comprehensive overview of the amendments and their implications for transgender persons in India.</w:t>
      </w:r>
      <w:r/>
    </w:p>
    <w:p>
      <w:pPr>
        <w:pStyle w:val="ListNumber"/>
        <w:spacing w:line="240" w:lineRule="auto"/>
        <w:ind w:left="720"/>
      </w:pPr>
      <w:r/>
      <w:hyperlink r:id="rId12">
        <w:r>
          <w:rPr>
            <w:color w:val="0000EE"/>
            <w:u w:val="single"/>
          </w:rPr>
          <w:t>https://www.ijllr.com/post/critical-analysis-transgender-persons-protection-of-rights-amendment-act-2026</w:t>
        </w:r>
      </w:hyperlink>
      <w:r>
        <w:t xml:space="preserve"> - This critical analysis examines the Transgender Persons (Protection of Rights) Amendment Act, 2026, focusing on its impact on transgender rights. It discusses the narrowing of the definition of transgender persons, exclusion of self-perceived gender identity, and inclusion of mandatory medical certificates. The article argues that the amendments violate constitutional rights upheld by the Supreme Court in the 2014 NALSA judgment and compares the 2019 Act with the Amendment Act to assess their impact on transgender rights.</w:t>
      </w:r>
      <w:r/>
    </w:p>
    <w:p>
      <w:pPr>
        <w:pStyle w:val="ListNumber"/>
        <w:spacing w:line="240" w:lineRule="auto"/>
        <w:ind w:left="720"/>
      </w:pPr>
      <w:r/>
      <w:hyperlink r:id="rId13">
        <w:r>
          <w:rPr>
            <w:color w:val="0000EE"/>
            <w:u w:val="single"/>
          </w:rPr>
          <w:t>https://lawschoolpolicyreview.com/2026/07/13/third-gender-where-art-thou-the-transgender-amendment-act-unconstitutionality-in-plain-sight/</w:t>
        </w:r>
      </w:hyperlink>
      <w:r>
        <w:t xml:space="preserve"> - This article assesses two key changes brought to Section 7 of the Transgender Persons (Protection of Rights) Act, 2019, by the 2026 amendment: an obligation to register for a transgender identity certificate post-medical procedures and the removal of rights and entitlements for such persons. The author argues these amendments violate Articles 14 and 19 of the Constitution and are liable to be struck down, highlighting constitutional concerns with the amendment.</w:t>
      </w:r>
      <w:r/>
    </w:p>
    <w:p>
      <w:pPr>
        <w:pStyle w:val="ListNumber"/>
        <w:spacing w:line="240" w:lineRule="auto"/>
        <w:ind w:left="720"/>
      </w:pPr>
      <w:r/>
      <w:hyperlink r:id="rId14">
        <w:r>
          <w:rPr>
            <w:color w:val="0000EE"/>
            <w:u w:val="single"/>
          </w:rPr>
          <w:t>https://blog.ipleaders.in/transgender-persons-protection-of-rights-amendment-act-2026-a-full-legal-analysis/</w:t>
        </w:r>
      </w:hyperlink>
      <w:r>
        <w:t xml:space="preserve"> - This comprehensive legal analysis delves into the Transgender Persons (Protection of Rights) Amendment Act, 2026, focusing on Section 18, which deals with offences and penalties. It outlines the offences retained from the 2019 Act and those introduced in the 2026 Amendment, detailing the quantum of punishment for each. The article also discusses constitutional challenges related to Articles 14, 15, 19, and 21, providing an in-depth examination of the Act's provisions and their implications.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lawschoolpolicyreview.com/2026/08/31/paper-shield-the-internal-contradictions-of-section-18-of-the-transgender-persons-amendment-act-2026/" TargetMode="External"/><Relationship Id="rId10" Type="http://schemas.openxmlformats.org/officeDocument/2006/relationships/hyperlink" Target="https://indianexpress.com/article/explained/explained-law/transgender-amendment-act-2026-gender-identity-10612104/" TargetMode="External"/><Relationship Id="rId11" Type="http://schemas.openxmlformats.org/officeDocument/2006/relationships/hyperlink" Target="https://www.scconline.com/blog/post/2026/05/28/transgender-persons-protection-of-rights-amendment-act-2026-key-changes-india/" TargetMode="External"/><Relationship Id="rId12" Type="http://schemas.openxmlformats.org/officeDocument/2006/relationships/hyperlink" Target="https://www.ijllr.com/post/critical-analysis-transgender-persons-protection-of-rights-amendment-act-2026" TargetMode="External"/><Relationship Id="rId13" Type="http://schemas.openxmlformats.org/officeDocument/2006/relationships/hyperlink" Target="https://lawschoolpolicyreview.com/2026/07/13/third-gender-where-art-thou-the-transgender-amendment-act-unconstitutionality-in-plain-sight/" TargetMode="External"/><Relationship Id="rId14" Type="http://schemas.openxmlformats.org/officeDocument/2006/relationships/hyperlink" Target="https://blog.ipleaders.in/transgender-persons-protection-of-rights-amendment-act-2026-a-full-legal-analysis/" TargetMode="External"/><Relationship Id="rId15" Type="http://schemas.openxmlformats.org/officeDocument/2006/relationships/hyperlink" Target="https://link.springer.com/article/10.1186/s12982-026-02494-w"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