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Lawrence v. Texas Through the “Born Free and Equal” Lens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Consider how a centuries‑old phrase still shapes modern rights: scholars and originalists are re‑reading the “born free and equal” clauses to explain why Lawrence v. Texas, striking down sodomy laws, was right, even if the court’s reasoning remains contested. This piece unpacks history, tests, and practical takeaways for constitutional watchers.</w:t>
      </w:r>
      <w:r/>
    </w:p>
    <w:p>
      <w:r/>
      <w:r>
        <w:t>Essential takeaways</w:t>
      </w:r>
      <w:r/>
      <w:r/>
    </w:p>
    <w:p>
      <w:pPr>
        <w:pStyle w:val="ListBullet"/>
        <w:spacing w:line="240" w:lineRule="auto"/>
        <w:ind w:left="720"/>
      </w:pPr>
      <w:r/>
      <w:r>
        <w:rPr>
          <w:b/>
        </w:rPr>
        <w:t>Core idea:</w:t>
      </w:r>
      <w:r>
        <w:t xml:space="preserve"> The “born free and equal” language from early state constitutions informed the 14th Amendment’s protections and helps frame modern liberty claims.</w:t>
      </w:r>
      <w:r/>
    </w:p>
    <w:p>
      <w:pPr>
        <w:pStyle w:val="ListBullet"/>
        <w:spacing w:line="240" w:lineRule="auto"/>
        <w:ind w:left="720"/>
      </w:pPr>
      <w:r/>
      <w:r>
        <w:rPr>
          <w:b/>
        </w:rPr>
        <w:t>Historical fit:</w:t>
      </w:r>
      <w:r>
        <w:t xml:space="preserve"> Whether a right is protected depends on whether it is “deeply rooted in American history and tradition,” a key originalist metric.</w:t>
      </w:r>
      <w:r/>
    </w:p>
    <w:p>
      <w:pPr>
        <w:pStyle w:val="ListBullet"/>
        <w:spacing w:line="240" w:lineRule="auto"/>
        <w:ind w:left="720"/>
      </w:pPr>
      <w:r/>
      <w:r>
        <w:rPr>
          <w:b/>
        </w:rPr>
        <w:t>Context matters:</w:t>
      </w:r>
      <w:r>
        <w:t xml:space="preserve"> By 2003 most states had abandoned sodomy bans and enforcement was rare; social change shifted constitutional application.</w:t>
      </w:r>
      <w:r/>
    </w:p>
    <w:p>
      <w:pPr>
        <w:pStyle w:val="ListBullet"/>
        <w:spacing w:line="240" w:lineRule="auto"/>
        <w:ind w:left="720"/>
      </w:pPr>
      <w:r/>
      <w:r>
        <w:rPr>
          <w:b/>
        </w:rPr>
        <w:t>Means‑ends scrutiny:</w:t>
      </w:r>
      <w:r>
        <w:t xml:space="preserve"> Sodomy laws failed the rational basis fit because they singled out non‑procreative sex without a plausible public‑good justification.</w:t>
      </w:r>
      <w:r/>
    </w:p>
    <w:p>
      <w:pPr>
        <w:pStyle w:val="ListBullet"/>
        <w:spacing w:line="240" w:lineRule="auto"/>
        <w:ind w:left="720"/>
      </w:pPr>
      <w:r/>
      <w:r>
        <w:rPr>
          <w:b/>
        </w:rPr>
        <w:t>Limitations noted:</w:t>
      </w:r>
      <w:r>
        <w:t xml:space="preserve"> Accepting Lawrence’s outcome doesn’t mean every sexual or private conduct claim must win; some criminal laws can be rationally justified.</w:t>
      </w:r>
      <w:r/>
      <w:r/>
    </w:p>
    <w:p>
      <w:pPr>
        <w:pStyle w:val="Heading2"/>
      </w:pPr>
      <w:r>
        <w:t>What “born free and equal” actually signals about liberty today</w:t>
      </w:r>
      <w:r/>
    </w:p>
    <w:p>
      <w:r/>
      <w:r>
        <w:t>Start with a phrase that sounds poetic and you end up in the weeds of constitutional method, which is where this debate lives and breathes. According to historic texts, “born free and equal” tied individual liberty to certain fundamental rights, life, property, safety and the pursuit of happiness, and those words were folded into state and national conversations about citizenship. Corfield v. Coryell later crystallised the idea that these privileges are real but subject to reasonable restraints for the public good. That balance, liberty plus permissible limits, explains why scholars treat Lawrence not as a free‑floating privacy triumph but as an instance of translating historic commitments into a modern context. If you want to evaluate other liberty claims, ask: what restraint does the government invoke and does it actually fit the aim?</w:t>
      </w:r>
      <w:r/>
    </w:p>
    <w:p>
      <w:pPr>
        <w:pStyle w:val="Heading2"/>
      </w:pPr>
      <w:r>
        <w:t>Why Lawrence’s outcome made sense to many originalists</w:t>
      </w:r>
      <w:r/>
    </w:p>
    <w:p>
      <w:r/>
      <w:r>
        <w:t>Lawrence involved a Texas statute enforced against same‑sex adults; the Supreme Court held the law unconstitutional, and the result aligned with shifting social realities more than with 19th‑century expectations. By 2003 most states had repealed sodomy statutes and prosecutions were extremely rare, so treating criminalisation as part of the “deeply rooted” tradition becomes hard to sustain. Originalism, properly understood, isn’t frozen in amber: judges translate old text to new circumstances, as Robert Bork observed. Practically, that means when social practices and moral understandings evolve, think contraception and the sexual revolution, courts may read the 14th Amendment’s guarantees differently. If you’re assessing a contemporary liberty claim, map the historical baseline, then map what’s changed.</w:t>
      </w:r>
      <w:r/>
    </w:p>
    <w:p>
      <w:pPr>
        <w:pStyle w:val="Heading2"/>
      </w:pPr>
      <w:r>
        <w:t>The rational basis question: why sodomy laws flunked the fit test</w:t>
      </w:r>
      <w:r/>
    </w:p>
    <w:p>
      <w:r/>
      <w:r>
        <w:t>Corfield’s caveat, that rights are “subject nevertheless to such restraints as the government may justly prescribe for the general good”, is essentially a rationality check. Sodomy bans singled out particular sexual acts but couldn’t coherently be defended as promoting childbirth or public welfare, especially once contraception, changing norms and near‑universal non‑procreative sex made the law’s target arbitrary. Justice Byron White’s skepticism about means‑ends fit in Griswold helps frame this criticism. So a quick rule of thumb for litigants: show not just that a law burdens a private liberty, but that the state’s objective is plausibly advanced by this specific prohibition. If it’s equally plausible to criminalise many other non‑procreative acts and the state doesn’t, that’s a weak fit.</w:t>
      </w:r>
      <w:r/>
    </w:p>
    <w:p>
      <w:pPr>
        <w:pStyle w:val="Heading2"/>
      </w:pPr>
      <w:r>
        <w:t>Where Kennedy’s opinion drew fire, and why reasoning still matters</w:t>
      </w:r>
      <w:r/>
    </w:p>
    <w:p>
      <w:r/>
      <w:r>
        <w:t>Many commentators accept Lawrence’s result but reject Justice Kennedy’s justification as vague or Millian in spirit, too reliant on a harm‑principle style account rather than tighter constitutional grounding. Critics like Justice Scalia argued the opinion blurred doctrinal lines and risked constitutionalising broad moral philosophy. That debate matters: outcomes can be right for weak reasons, and legal doctrine needs guardrails so future cases don’t drift unpredictably. For consumers of constitutional news, that means watching both holdings and rationales. A win on the merits doesn’t settle doctrinal method; it influences what courts will treat as precedent in later, tougher conflicts.</w:t>
      </w:r>
      <w:r/>
    </w:p>
    <w:p>
      <w:pPr>
        <w:pStyle w:val="Heading2"/>
      </w:pPr>
      <w:r>
        <w:t>Limits and practical implications: not every private act will be protected</w:t>
      </w:r>
      <w:r/>
    </w:p>
    <w:p>
      <w:r/>
      <w:r>
        <w:t>Accepting that sodomy laws were irrational doesn’t open the door to wholesale nullification of criminal regulation. The author here accepts that certain laws, targeting prostitution, incest, dangerous drugs, or exploitative conduct, can be justified under a public‑good rationale. That distinction reflects a commitment to “ordered liberty”: private autonomy balanced against protections for vulnerable groups. If you’re worried about where courts may draw lines, focus on whether regulation targets consensual adult behaviour that’s not meaningfully harmful to others. In short, Lawrence protects a zone of intimate freedom, but it doesn’t mean courts must strike down every public‑safety or morality‑based statute.</w:t>
      </w:r>
      <w:r/>
    </w:p>
    <w:p>
      <w:r/>
      <w:r>
        <w:t>Closing line It’s a reminder that old words keep working in new ways, read the history, check the fit, and you’ll see why Lawrence upheld private liberty without rewriting the Constitution.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3">
        <w:r>
          <w:rPr>
            <w:color w:val="0000EE"/>
            <w:u w:val="single"/>
          </w:rPr>
          <w:t>[3]</w:t>
        </w:r>
      </w:hyperlink>
      <w:r>
        <w:t xml:space="preserve">, </w:t>
      </w:r>
      <w:hyperlink r:id="rId14">
        <w:r>
          <w:rPr>
            <w:color w:val="0000EE"/>
            <w:u w:val="single"/>
          </w:rPr>
          <w:t>[5]</w:t>
        </w:r>
      </w:hyperlink>
      <w:r>
        <w:t xml:space="preserve">- Paragraph 4: </w:t>
      </w:r>
      <w:hyperlink r:id="rId15">
        <w:r>
          <w:rPr>
            <w:color w:val="0000EE"/>
            <w:u w:val="single"/>
          </w:rPr>
          <w:t>[6]</w:t>
        </w:r>
      </w:hyperlink>
      <w:r>
        <w:t xml:space="preserve">, </w:t>
      </w:r>
      <w:hyperlink r:id="rId11">
        <w:r>
          <w:rPr>
            <w:color w:val="0000EE"/>
            <w:u w:val="single"/>
          </w:rPr>
          <w:t>[4]</w:t>
        </w:r>
      </w:hyperlink>
      <w:r>
        <w:t xml:space="preserve">- Paragraph 5: </w:t>
      </w:r>
      <w:hyperlink r:id="rId10">
        <w:r>
          <w:rPr>
            <w:color w:val="0000EE"/>
            <w:u w:val="single"/>
          </w:rPr>
          <w:t>[2]</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https://www.scotusblog.com/2026/08/the-born-free-and-equal-clauses-and-lawrence-v-texas/</w:t>
        </w:r>
      </w:hyperlink>
      <w:r>
        <w:t xml:space="preserve"> - Please view link - unable to able to access data</w:t>
      </w:r>
      <w:r/>
    </w:p>
    <w:p>
      <w:pPr>
        <w:pStyle w:val="ListNumber"/>
        <w:spacing w:line="240" w:lineRule="auto"/>
        <w:ind w:left="720"/>
      </w:pPr>
      <w:r/>
      <w:hyperlink r:id="rId10">
        <w:r>
          <w:rPr>
            <w:color w:val="0000EE"/>
            <w:u w:val="single"/>
          </w:rPr>
          <w:t>https://www.law.cornell.edu/wex/lawrence_v._texas</w:t>
        </w:r>
      </w:hyperlink>
      <w:r>
        <w:t xml:space="preserve"> - This article provides an overview of the landmark 2003 Supreme Court case, Lawrence v. Texas, which invalidated sodomy laws across the United States, making same-sex sexual activity legal in every state and territory. The majority opinion, written by Justice Kennedy, overturned the previous ruling in Bowers v. Hardwick (1986), where the Court had upheld a challenged Georgia statute and did not find a constitutional protection of sexual privacy. The Court in Lawrence v. Texas explicitly held that intimate consensual sexual conduct was part of the liberty protected by the substantive due process under the Fourteenth Amendment.</w:t>
      </w:r>
      <w:r/>
    </w:p>
    <w:p>
      <w:pPr>
        <w:pStyle w:val="ListNumber"/>
        <w:spacing w:line="240" w:lineRule="auto"/>
        <w:ind w:left="720"/>
      </w:pPr>
      <w:r/>
      <w:hyperlink r:id="rId13">
        <w:r>
          <w:rPr>
            <w:color w:val="0000EE"/>
            <w:u w:val="single"/>
          </w:rPr>
          <w:t>https://www.icj.org/sogicasebook/lawrence-v-texas-united-states-supreme-court-26-june-2003/</w:t>
        </w:r>
      </w:hyperlink>
      <w:r>
        <w:t xml:space="preserve"> - This resource from the International Commission of Jurists details the procedural posture and facts of Lawrence v. Texas. The defendants were convicted of 'anal sex with a member of the same sex' in violation of Section 21.06 of the Texas Penal Code. At trial, they challenged the law on the grounds that it violated the Equal Protection Clause of the 14th Amendment of the United States Constitution. The trial court rejected that challenge and convicted both defendants, fining them $200. The defendants appealed to the Court of Appeals. After hearing the case en banc, the Court, in a divided opinion, rejected the constitutional arguments and affirmed the convictions. The Court of Appeals considered the Supreme Court’s 1986 decision in Bowers v. Hardwick to be controlling law. The Supreme Court granted the petition for writ of certiorari (review).</w:t>
      </w:r>
      <w:r/>
    </w:p>
    <w:p>
      <w:pPr>
        <w:pStyle w:val="ListNumber"/>
        <w:spacing w:line="240" w:lineRule="auto"/>
        <w:ind w:left="720"/>
      </w:pPr>
      <w:r/>
      <w:hyperlink r:id="rId11">
        <w:r>
          <w:rPr>
            <w:color w:val="0000EE"/>
            <w:u w:val="single"/>
          </w:rPr>
          <w:t>https://www.casebriefs.com/blog/law/constitutional-law/constitutional-law-keyed-to-chemerinsky/fundamental-fights-under-due-process-and-equal-protection/lawrence-v-texas/</w:t>
        </w:r>
      </w:hyperlink>
      <w:r>
        <w:t xml:space="preserve"> - This case brief summarises the facts and legal principles of Lawrence v. Texas. The petitioners, two adult males, were arrested and convicted when the police saw them engaging in a private, consensual sexual act. The Supreme Court held that intimate sexual relationships between consenting adults are protected under the Due Process Clause of the 14th Amendment. The case highlights the Court's recognition of personal autonomy in intimate conduct and its protection under the Constitution.</w:t>
      </w:r>
      <w:r/>
    </w:p>
    <w:p>
      <w:pPr>
        <w:pStyle w:val="ListNumber"/>
        <w:spacing w:line="240" w:lineRule="auto"/>
        <w:ind w:left="720"/>
      </w:pPr>
      <w:r/>
      <w:hyperlink r:id="rId14">
        <w:r>
          <w:rPr>
            <w:color w:val="0000EE"/>
            <w:u w:val="single"/>
          </w:rPr>
          <w:t>https://www.casebriefs.com/blog/law/constitutional-law/constitutional-law-keyed-to-varat/lawrence-v-texas-4/</w:t>
        </w:r>
      </w:hyperlink>
      <w:r>
        <w:t xml:space="preserve"> - This resource provides a detailed case brief of Lawrence v. Texas, including the citation, brief fact summary, and synopsis of the rule of law. The case involved the petitioners challenging the constitutionality of a Texas law prohibiting intimacy between same-sex couples. The Supreme Court held that intimate sexual relationships between consenting adults are protected under the Due Process Clause of the 14th Amendment. The brief outlines the facts, issues, and legal principles involved in the case.</w:t>
      </w:r>
      <w:r/>
    </w:p>
    <w:p>
      <w:pPr>
        <w:pStyle w:val="ListNumber"/>
        <w:spacing w:line="240" w:lineRule="auto"/>
        <w:ind w:left="720"/>
      </w:pPr>
      <w:r/>
      <w:hyperlink r:id="rId15">
        <w:r>
          <w:rPr>
            <w:color w:val="0000EE"/>
            <w:u w:val="single"/>
          </w:rPr>
          <w:t>https://www.casebriefs.com/blog/law/constitutional-law/constitutional-law-keyed-to-rotunda/lawrence-v-texas-5/</w:t>
        </w:r>
      </w:hyperlink>
      <w:r>
        <w:t xml:space="preserve"> - This case brief provides a detailed analysis of Lawrence v. Texas, including the citation, brief fact summary, and synopsis of the rule of law. The case involved the petitioners, two adult males, who were arrested and convicted when the police saw them engaging in a private, consensual sexual act. The Supreme Court held that intimate sexual relationships between consenting adults are protected under the Due Process Clause of the 14th Amendment. The brief outlines the facts, issues, and legal principles involved in the case.</w:t>
      </w:r>
      <w:r/>
    </w:p>
    <w:p>
      <w:pPr>
        <w:pStyle w:val="ListNumber"/>
        <w:spacing w:line="240" w:lineRule="auto"/>
        <w:ind w:left="720"/>
      </w:pPr>
      <w:r/>
      <w:hyperlink r:id="rId12">
        <w:r>
          <w:rPr>
            <w:color w:val="0000EE"/>
            <w:u w:val="single"/>
          </w:rPr>
          <w:t>https://www.casebriefs.com/blog/law/constitutional-law/constitutional-law-keyed-to-stone/lawrence-v-texas-3/</w:t>
        </w:r>
      </w:hyperlink>
      <w:r>
        <w:t xml:space="preserve"> - This resource provides a detailed case brief of Lawrence v. Texas, including the citation, brief fact summary, and synopsis of the rule of law. The case involved the petitioners challenging the constitutionality of a Texas law prohibiting intimacy between same-sex couples. The Supreme Court held that intimate sexual relationships between consenting adults are protected under the Due Process Clause of the 14th Amendment. The brief outlines the facts, issues, and legal principles involved in the case.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cotusblog.com/2026/08/the-born-free-and-equal-clauses-and-lawrence-v-texas/" TargetMode="External"/><Relationship Id="rId10" Type="http://schemas.openxmlformats.org/officeDocument/2006/relationships/hyperlink" Target="https://www.law.cornell.edu/wex/lawrence_v._texas" TargetMode="External"/><Relationship Id="rId11" Type="http://schemas.openxmlformats.org/officeDocument/2006/relationships/hyperlink" Target="https://www.casebriefs.com/blog/law/constitutional-law/constitutional-law-keyed-to-chemerinsky/fundamental-fights-under-due-process-and-equal-protection/lawrence-v-texas/" TargetMode="External"/><Relationship Id="rId12" Type="http://schemas.openxmlformats.org/officeDocument/2006/relationships/hyperlink" Target="https://www.casebriefs.com/blog/law/constitutional-law/constitutional-law-keyed-to-stone/lawrence-v-texas-3/" TargetMode="External"/><Relationship Id="rId13" Type="http://schemas.openxmlformats.org/officeDocument/2006/relationships/hyperlink" Target="https://www.icj.org/sogicasebook/lawrence-v-texas-united-states-supreme-court-26-june-2003/" TargetMode="External"/><Relationship Id="rId14" Type="http://schemas.openxmlformats.org/officeDocument/2006/relationships/hyperlink" Target="https://www.casebriefs.com/blog/law/constitutional-law/constitutional-law-keyed-to-varat/lawrence-v-texas-4/" TargetMode="External"/><Relationship Id="rId15" Type="http://schemas.openxmlformats.org/officeDocument/2006/relationships/hyperlink" Target="https://www.casebriefs.com/blog/law/constitutional-law/constitutional-law-keyed-to-rotunda/lawrence-v-texas-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