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How LGBTQ+ Lawyers Are Rethinking Parental Rights Litigation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legal strategy are watching closely: LGBTQ+ Bar Association lawyers have framed recent Supreme Court decisions as “muddied” doctrine, and their Lavender Law panel lays out a coordinated parental-rights playbook that could influence cases nationwide. Here’s what happened, why it matters, and what to watch next.</w:t>
      </w:r>
      <w:r/>
    </w:p>
    <w:p>
      <w:r/>
      <w:r>
        <w:t>Essential Takeaways</w:t>
      </w:r>
      <w:r/>
      <w:r/>
    </w:p>
    <w:p>
      <w:pPr>
        <w:pStyle w:val="ListBullet"/>
        <w:spacing w:line="240" w:lineRule="auto"/>
        <w:ind w:left="720"/>
      </w:pPr>
      <w:r/>
      <w:r>
        <w:rPr>
          <w:b/>
        </w:rPr>
        <w:t>What happened:</w:t>
      </w:r>
      <w:r>
        <w:t xml:space="preserve"> The LGBTQ+ Bar Association circulated a strategy memo ahead of its Lavender Law conference arguing the Supreme Court has given unclear guidance on parental-rights doctrine.</w:t>
      </w:r>
      <w:r/>
    </w:p>
    <w:p>
      <w:pPr>
        <w:pStyle w:val="ListBullet"/>
        <w:spacing w:line="240" w:lineRule="auto"/>
        <w:ind w:left="720"/>
      </w:pPr>
      <w:r/>
      <w:r>
        <w:rPr>
          <w:b/>
        </w:rPr>
        <w:t>Key cases:</w:t>
      </w:r>
      <w:r>
        <w:t xml:space="preserve"> The memo discusses Mahmoud v. Taylor and Mirabelli v. Bonta as confusing signals, while critics point to the court’s consistent protection of parental religious rights.</w:t>
      </w:r>
      <w:r/>
    </w:p>
    <w:p>
      <w:pPr>
        <w:pStyle w:val="ListBullet"/>
        <w:spacing w:line="240" w:lineRule="auto"/>
        <w:ind w:left="720"/>
      </w:pPr>
      <w:r/>
      <w:r>
        <w:rPr>
          <w:b/>
        </w:rPr>
        <w:t>Practical stakes:</w:t>
      </w:r>
      <w:r>
        <w:t xml:space="preserve"> The debate affects school policies, disclosure of a child’s gender identity to parents, and litigation over gender‑affirming care for minors.</w:t>
      </w:r>
      <w:r/>
    </w:p>
    <w:p>
      <w:pPr>
        <w:pStyle w:val="ListBullet"/>
        <w:spacing w:line="240" w:lineRule="auto"/>
        <w:ind w:left="720"/>
      </w:pPr>
      <w:r/>
      <w:r>
        <w:rPr>
          <w:b/>
        </w:rPr>
        <w:t>Tone and reach:</w:t>
      </w:r>
      <w:r>
        <w:t xml:space="preserve"> Lavender Law drew roughly 2,000 attendees and influential legal partners, so its strategy memo likely shapes advocacy talking points and litigation tactics.</w:t>
      </w:r>
      <w:r/>
    </w:p>
    <w:p>
      <w:pPr>
        <w:pStyle w:val="ListBullet"/>
        <w:spacing w:line="240" w:lineRule="auto"/>
        <w:ind w:left="720"/>
      </w:pPr>
      <w:r/>
      <w:r>
        <w:rPr>
          <w:b/>
        </w:rPr>
        <w:t>What to expect:</w:t>
      </w:r>
      <w:r>
        <w:t xml:space="preserve"> More targeted lawsuits and public-facing campaigns from both sides as advocates test doctrinal boundaries in lower courts.</w:t>
      </w:r>
      <w:r/>
      <w:r/>
    </w:p>
    <w:p>
      <w:pPr>
        <w:pStyle w:val="Heading2"/>
      </w:pPr>
      <w:r>
        <w:t>Why the memo matters: a strategy session with real-world consequences</w:t>
      </w:r>
      <w:r/>
    </w:p>
    <w:p>
      <w:r/>
      <w:r>
        <w:t>The strongest point here is simple: when 2,000 legal professionals gather and circulate a targeted memo, their talking points don’t stay inside a conference hall. The LGBTQ+ Bar positioned the moment as “crucial” for aligning tactics to protect transgender youth, and that signalling matters , judges, policymakers, and school administrators will hear echoes of it. According to reporting, the Lavender Law materials outline where lawyers believe the law is unclear and where they intend to press challenges. If you work in education or represent families, this is the kind of roadmap that changes litigation and policy priorities.</w:t>
      </w:r>
      <w:r/>
    </w:p>
    <w:p>
      <w:pPr>
        <w:pStyle w:val="Heading2"/>
      </w:pPr>
      <w:r>
        <w:t>The court decisions at the centre of the fight</w:t>
      </w:r>
      <w:r/>
    </w:p>
    <w:p>
      <w:r/>
      <w:r>
        <w:t>The memo points to two recent Supreme Court rulings as evidence the doctrine is muddled. But critics argue the decisions actually reaffirm parental authority, especially over religious upbringing and school interactions. For instance, the court enjoined a Maryland district’s mandatory LGBTQ+ book program and blocked a California policy that kept gender identity secret from parents , decisions advocates interpret differently. The back-and-forth shows how the same rulings can be read as either constraining or opening room for advocacy, depending on which right you highlight. That split in interpretation is the battleground for months to come.</w:t>
      </w:r>
      <w:r/>
    </w:p>
    <w:p>
      <w:pPr>
        <w:pStyle w:val="Heading2"/>
      </w:pPr>
      <w:r>
        <w:t>Where parental rights and transgender advocacy clash , and why they aren’t identical issues</w:t>
      </w:r>
      <w:r/>
    </w:p>
    <w:p>
      <w:r/>
      <w:r>
        <w:t>One useful clarification in the wider debate is that not all parental-rights claims raise the same constitutional question. Some cases ask whether parents can opt children out of school programmes or demand notice about a student’s expressed gender identity. Others involve medical decisions, including efforts to seek or block gender‑affirming treatments for minors. Courts have historically recognised parental authority over upbringing and religion, but they’ve stopped short of endorsing a constitutional right to subject children to experimental or medically controversial procedures. That difference in legal contours is why strategy memos split tactics by issue type , procedural fights in schools look very different from suits over medical treatment.</w:t>
      </w:r>
      <w:r/>
    </w:p>
    <w:p>
      <w:pPr>
        <w:pStyle w:val="Heading2"/>
      </w:pPr>
      <w:r>
        <w:t>Practical advice for parents, schools and lawyers</w:t>
      </w:r>
      <w:r/>
    </w:p>
    <w:p>
      <w:r/>
      <w:r>
        <w:t>If you’re a parent, teacher, or school leader, practical steps make sense now. Schools should review their notification policies and staff training so they’re clear on when parental notice is needed and how to document consent. Parents who are worried about a school’s approach should request written policies and, if necessary, legal counsel early. Lawyers on both sides will be watching the lower courts for signals, so expect test cases that try to draw bright lines on disclosure, pronoun policies, and access to care. And for advocacy groups, refining messaging to highlight concrete harms or protections will be crucial in persuading judges.</w:t>
      </w:r>
      <w:r/>
    </w:p>
    <w:p>
      <w:pPr>
        <w:pStyle w:val="Heading2"/>
      </w:pPr>
      <w:r>
        <w:t>What this means next: litigation, messaging and the long game</w:t>
      </w:r>
      <w:r/>
    </w:p>
    <w:p>
      <w:r/>
      <w:r>
        <w:t>Expect more strategic litigation that targets specific doctrines the memo flags as vulnerable. The Lavender Law panel and materials aren’t a court brief, but they function as a playbook: identify weak spots, file cases in sympathetic jurisdictions, and build public narratives that shape judges’ and juries’ perceptions. Meanwhile, opponents will emphasise precedent protecting parental control over a child’s upbringing and caution against treating all parental-rights claims as equivalent. Ultimately, the conversation will keep moving between courtrooms and school board rooms, and both legal and human stories will drive outcomes.</w:t>
      </w:r>
      <w:r/>
    </w:p>
    <w:p>
      <w:r/>
      <w:r>
        <w:t>It's a small change in the briefing room that could reshape what families and schools see in the courtroom.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https://www.dailysignal.com/2026/08/30/lgbtq-lawyers-claim-supreme-court-has-muddied-the-waters-on-parental-rights/</w:t>
        </w:r>
      </w:hyperlink>
      <w:r>
        <w:t xml:space="preserve"> - Please view link - unable to able to access data</w:t>
      </w:r>
      <w:r/>
    </w:p>
    <w:p>
      <w:pPr>
        <w:pStyle w:val="ListNumber"/>
        <w:spacing w:line="240" w:lineRule="auto"/>
        <w:ind w:left="720"/>
      </w:pPr>
      <w:r/>
      <w:hyperlink r:id="rId9">
        <w:r>
          <w:rPr>
            <w:color w:val="0000EE"/>
            <w:u w:val="single"/>
          </w:rPr>
          <w:t>https://www.dailysignal.com/2026/08/30/lgbtq-lawyers-claim-supreme-court-has-muddied-the-waters-on-parental-rights/</w:t>
        </w:r>
      </w:hyperlink>
      <w:r>
        <w:t xml:space="preserve"> - The article discusses a memo from the LGBTQ+ Bar Association, the largest membership group for LGBTQ+ legal professionals, which claims that the Supreme Court has 'muddied the doctrinal waters' on parental rights. The memo highlights recent rulings in Mahmoud v. Taylor (2025) and Mirabelli v. Bonta (2026) concerning parents' religious rights under the First Amendment. Critics, such as Noel Sterett from the Alliance Defending Freedom, argue that these rulings affirm the fundamental parental right to direct a child's religious upbringing and care. The article also touches upon the Supreme Court's decision in U.S. v. Skrmetti, which upheld states' rights to legislate against 'gender-affirming care' for minors, and the denial of a parental rights appeal in LW v. Skrmetti.</w:t>
      </w:r>
      <w:r/>
    </w:p>
    <w:p>
      <w:pPr>
        <w:pStyle w:val="ListNumber"/>
        <w:spacing w:line="240" w:lineRule="auto"/>
        <w:ind w:left="720"/>
      </w:pPr>
      <w:r/>
      <w:hyperlink r:id="rId13">
        <w:r>
          <w:rPr>
            <w:color w:val="0000EE"/>
            <w:u w:val="single"/>
          </w:rPr>
          <w:t>https://supreme.justia.com/cases/federal/us/606/24-297/</w:t>
        </w:r>
      </w:hyperlink>
      <w:r>
        <w:t xml:space="preserve"> - Mahmoud v. Taylor is a Supreme Court case where parents from diverse religious backgrounds sought to reinstate an opt-out option for their children from a Maryland school district's LGBTQ+-inclusive curriculum. The parents argued that the curriculum conflicted with their religious teachings on sexuality and gender. The Supreme Court granted an injunction allowing parents to opt their children out of the program, affirming the parental right to direct a child's religious upbringing and care.</w:t>
      </w:r>
      <w:r/>
    </w:p>
    <w:p>
      <w:pPr>
        <w:pStyle w:val="ListNumber"/>
        <w:spacing w:line="240" w:lineRule="auto"/>
        <w:ind w:left="720"/>
      </w:pPr>
      <w:r/>
      <w:hyperlink r:id="rId10">
        <w:r>
          <w:rPr>
            <w:color w:val="0000EE"/>
            <w:u w:val="single"/>
          </w:rPr>
          <w:t>https://supreme.justia.com/cases/federal/us/607/25a810/</w:t>
        </w:r>
      </w:hyperlink>
      <w:r>
        <w:t xml:space="preserve"> - Mirabelli v. Bonta is a Supreme Court case where the Court upheld an injunction against California's gender secrecy policy, which mandated that school staff conceal a student's claimed transgender identity from parents unless the student expressly consented to reveal it. The decision suggests that parents may have a right to be informed about their child's gender identity, highlighting the tension between parental rights and student privacy.</w:t>
      </w:r>
      <w:r/>
    </w:p>
    <w:p>
      <w:pPr>
        <w:pStyle w:val="ListNumber"/>
        <w:spacing w:line="240" w:lineRule="auto"/>
        <w:ind w:left="720"/>
      </w:pPr>
      <w:r/>
      <w:hyperlink r:id="rId14">
        <w:r>
          <w:rPr>
            <w:color w:val="0000EE"/>
            <w:u w:val="single"/>
          </w:rPr>
          <w:t>https://www.oag.ca.gov/news/press-releases/following-scotus-ruling-us-v-skrmetti-attorney-general-bonta-reaffirms</w:t>
        </w:r>
      </w:hyperlink>
      <w:r>
        <w:t xml:space="preserve"> - Following the Supreme Court's ruling in U.S. v. Skrmetti, which upheld Tennessee's Senate Bill 1 banning gender-affirming care for minors, California Attorney General Rob Bonta reaffirmed the state's commitment to protecting access to gender-affirming care for transgender youth. Bonta criticized the Tennessee law as discriminatory and emphasized California's dedication to safeguarding healthcare rights for all individuals, including transgender youth.</w:t>
      </w:r>
      <w:r/>
    </w:p>
    <w:p>
      <w:pPr>
        <w:pStyle w:val="ListNumber"/>
        <w:spacing w:line="240" w:lineRule="auto"/>
        <w:ind w:left="720"/>
      </w:pPr>
      <w:r/>
      <w:hyperlink r:id="rId12">
        <w:r>
          <w:rPr>
            <w:color w:val="0000EE"/>
            <w:u w:val="single"/>
          </w:rPr>
          <w:t>https://www.kff.org/lgbtq/what-are-the-implications-of-the-skrmetti-ruling-for-minors-access-to-gender-affirming-care/</w:t>
        </w:r>
      </w:hyperlink>
      <w:r>
        <w:t xml:space="preserve"> - This article examines the implications of the Supreme Court's ruling in U.S. v. Skrmetti, which upheld Tennessee's ban on gender-affirming care for minors. The ruling allows similar laws in other states to stand, potentially affecting access to gender-affirming care for transgender youth nationwide. The article discusses the legal and policy ramifications of the decision and its impact on transgender minors seeking gender-affirming care.</w:t>
      </w:r>
      <w:r/>
    </w:p>
    <w:p>
      <w:pPr>
        <w:pStyle w:val="ListNumber"/>
        <w:spacing w:line="240" w:lineRule="auto"/>
        <w:ind w:left="720"/>
      </w:pPr>
      <w:r/>
      <w:hyperlink r:id="rId11">
        <w:r>
          <w:rPr>
            <w:color w:val="0000EE"/>
            <w:u w:val="single"/>
          </w:rPr>
          <w:t>https://www.aclu.org/cases/mirabelli-v-bonta</w:t>
        </w:r>
      </w:hyperlink>
      <w:r>
        <w:t xml:space="preserve"> - The ACLU provides an overview of Mirabelli v. Bonta, a federal lawsuit challenging California laws and policies that protect transgender and gender nonconforming students from mandatory disclosure of gender-identity information to parents without the student's consent. The ACLU opposes the lawsuit, emphasizing the importance of protecting the privacy and safety of transgender students and their right to express their gender identity without fear of disclosure.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8/30/lgbtq-lawyers-claim-supreme-court-has-muddied-the-waters-on-parental-rights/" TargetMode="External"/><Relationship Id="rId10" Type="http://schemas.openxmlformats.org/officeDocument/2006/relationships/hyperlink" Target="https://supreme.justia.com/cases/federal/us/607/25a810/" TargetMode="External"/><Relationship Id="rId11" Type="http://schemas.openxmlformats.org/officeDocument/2006/relationships/hyperlink" Target="https://www.aclu.org/cases/mirabelli-v-bonta" TargetMode="External"/><Relationship Id="rId12" Type="http://schemas.openxmlformats.org/officeDocument/2006/relationships/hyperlink" Target="https://www.kff.org/lgbtq/what-are-the-implications-of-the-skrmetti-ruling-for-minors-access-to-gender-affirming-care/" TargetMode="External"/><Relationship Id="rId13" Type="http://schemas.openxmlformats.org/officeDocument/2006/relationships/hyperlink" Target="https://supreme.justia.com/cases/federal/us/606/24-297/" TargetMode="External"/><Relationship Id="rId14" Type="http://schemas.openxmlformats.org/officeDocument/2006/relationships/hyperlink" Target="https://www.oag.ca.gov/news/press-releases/following-scotus-ruling-us-v-skrmetti-attorney-general-bonta-reaffi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