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>
      <w:pPr>
        <w:pStyle w:val="Heading1"/>
      </w:pPr>
      <w:r>
        <w:t>Best Casper Events This Fall: Drag Bingo, Benson Boone and Fall Fest Highlights</w:t>
      </w:r>
      <w:r/>
    </w:p>
    <w:p>
      <w:r/>
      <w:r/>
    </w:p>
    <w:p>
      <w:r>
        <w:drawing>
          <wp:inline xmlns:a="http://schemas.openxmlformats.org/drawingml/2006/main" xmlns:pic="http://schemas.openxmlformats.org/drawingml/2006/picture">
            <wp:extent cx="5080000" cy="2902857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080000" cy="290285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/>
      <w:r>
        <w:rPr>
          <w:b/>
        </w:rPr>
        <w:t>Shoppers and music-lovers are marking calendars as Casper’s event season heats up, with local groups and venues serving up everything from queer-led Drag Bingo to big-name concerts and family-friendly fall festivals , here’s what to watch and how to make the most of each experience.</w:t>
      </w:r>
      <w:r/>
    </w:p>
    <w:p>
      <w:r/>
      <w:r>
        <w:t>Essential Takeaways</w:t>
      </w:r>
      <w:r/>
      <w:r/>
    </w:p>
    <w:p>
      <w:pPr>
        <w:pStyle w:val="ListBullet"/>
        <w:spacing w:line="240" w:lineRule="auto"/>
        <w:ind w:left="720"/>
      </w:pPr>
      <w:r/>
      <w:r>
        <w:rPr>
          <w:b/>
        </w:rPr>
        <w:t>Drag Bingo returns:</w:t>
      </w:r>
      <w:r>
        <w:t xml:space="preserve"> Casper Pride is planning another 21+ Drag Bingo in October; expect lively hosts and an early-arrival crowd, and bring plenty of ones for prizes. </w:t>
      </w:r>
      <w:r/>
    </w:p>
    <w:p>
      <w:pPr>
        <w:pStyle w:val="ListBullet"/>
        <w:spacing w:line="240" w:lineRule="auto"/>
        <w:ind w:left="720"/>
      </w:pPr>
      <w:r/>
      <w:r>
        <w:rPr>
          <w:b/>
        </w:rPr>
        <w:t>Big concert energy:</w:t>
      </w:r>
      <w:r>
        <w:t xml:space="preserve"> Benson Boone plays the Ford Wyoming Center on 3 September , great sound, comfortable seating and a classic arena vibe. </w:t>
      </w:r>
      <w:r/>
    </w:p>
    <w:p>
      <w:pPr>
        <w:pStyle w:val="ListBullet"/>
        <w:spacing w:line="240" w:lineRule="auto"/>
        <w:ind w:left="720"/>
      </w:pPr>
      <w:r/>
      <w:r>
        <w:rPr>
          <w:b/>
        </w:rPr>
        <w:t>Family-friendly fall fun:</w:t>
      </w:r>
      <w:r>
        <w:t xml:space="preserve"> Fall Fest at David Street Station runs 26 September, 10–2 , a breezy, welcoming way to kick off autumn with local vendors and activities. </w:t>
      </w:r>
      <w:r/>
    </w:p>
    <w:p>
      <w:pPr>
        <w:pStyle w:val="ListBullet"/>
        <w:spacing w:line="240" w:lineRule="auto"/>
        <w:ind w:left="720"/>
      </w:pPr>
      <w:r/>
      <w:r>
        <w:rPr>
          <w:b/>
        </w:rPr>
        <w:t>Community mix:</w:t>
      </w:r>
      <w:r>
        <w:t xml:space="preserve"> Events range from intimate queer celebrations to regional concerts, giving Casper both small-town warmth and city-style nights out. </w:t>
      </w:r>
      <w:r/>
      <w:r/>
    </w:p>
    <w:p>
      <w:pPr>
        <w:pStyle w:val="Heading2"/>
      </w:pPr>
      <w:r>
        <w:t>Drag Bingo: queer joy, loud laughs and practical prep</w:t>
      </w:r>
      <w:r/>
    </w:p>
    <w:p>
      <w:r/>
      <w:r>
        <w:t>Casper Pride’s Drag Bingo became a surprise hit in June, and organisers are baking a second round for October , imagine a colourful, high-energy room with performers riffing off the crowd. The event will be 21+, so it draws a party-ready crowd and a late-night vibe.</w:t>
      </w:r>
      <w:r/>
    </w:p>
    <w:p>
      <w:r/>
      <w:r>
        <w:t>Organisers told local outlets they’re repeating the format because it connected people across the community, which matters in a city that values face-to-face gatherings. Expect the usual bingo staples , witty banter, costume flair, and round-by-round prizes.</w:t>
      </w:r>
      <w:r/>
    </w:p>
    <w:p>
      <w:r/>
      <w:r>
        <w:t>If you’re going, arrive early to claim a good seat near the action, and bring small bills for game cards and tips. It’s a social night, so plan to mingle; these events are as much about the people you meet as the games you play.</w:t>
      </w:r>
      <w:r/>
    </w:p>
    <w:p>
      <w:pPr>
        <w:pStyle w:val="Heading2"/>
      </w:pPr>
      <w:r>
        <w:t>Benson Boone at the Ford Wyoming Center: a night out made easy</w:t>
      </w:r>
      <w:r/>
    </w:p>
    <w:p>
      <w:r/>
      <w:r>
        <w:t>Benson Boone’s upcoming show at the Ford Wyoming Center on 3 September is the sort of outing that feels polished and effortless , big sound, professional lighting and arena amenities that make attendance low-fuss. The venue is set up for comfortable viewing, whether you’re a die-hard fan or enjoying an evening with friends.</w:t>
      </w:r>
      <w:r/>
    </w:p>
    <w:p>
      <w:r/>
      <w:r>
        <w:t>The Ford Wyoming Center regularly hosts regional and national acts, so its calendar is a good barometer for the kind of touring talent that passes through Casper. Ticketing and seating tend to be straightforward; buy earlier for better seats and fewer fees.</w:t>
      </w:r>
      <w:r/>
    </w:p>
    <w:p>
      <w:r/>
      <w:r>
        <w:t>For a smoother evening, plan transport and parking in advance, arrive with light layers for variable indoor temperatures, and check the venue’s policy on bags and re-entry to avoid last-minute delays.</w:t>
      </w:r>
      <w:r/>
    </w:p>
    <w:p>
      <w:pPr>
        <w:pStyle w:val="Heading2"/>
      </w:pPr>
      <w:r>
        <w:t>Fall Fest at David Street Station: seasonal cheer on a Saturday</w:t>
      </w:r>
      <w:r/>
    </w:p>
    <w:p>
      <w:r/>
      <w:r>
        <w:t>Fall Fest, happening at David Street Station on 26 September from 10–2pm, is the community’s gentle nudge into autumn , think pumpkins, local vendors, family activities and the kind of easy, friendly bustle that invites lingering. It’s the perfect daytime event if you want a low-pressure way to sample local makers and meet neighbours.</w:t>
      </w:r>
      <w:r/>
    </w:p>
    <w:p>
      <w:r/>
      <w:r>
        <w:t>Local tourism and events listings highlight David Street Station as a hub for seasonal fairs, so you can expect a mix of craft stalls, food options and kid-friendly attractions. Wear comfortable shoes, bring a tote or basket for finds, and set aside time for a leisurely walk through the market area.</w:t>
      </w:r>
      <w:r/>
    </w:p>
    <w:p>
      <w:r/>
      <w:r>
        <w:t>These smaller daytime festivals matter because they keep community rhythms alive between larger ticketed shows, and they’re ideal for discovering local artisans you might follow through the winter season.</w:t>
      </w:r>
      <w:r/>
    </w:p>
    <w:p>
      <w:pPr>
        <w:pStyle w:val="Heading2"/>
      </w:pPr>
      <w:r>
        <w:t>How these events shape Casper’s character</w:t>
      </w:r>
      <w:r/>
    </w:p>
    <w:p>
      <w:r/>
      <w:r>
        <w:t>Taken together, Drag Bingo, arena concerts and community festivals show how Casper balances both big-city polish and small-town familiarity. The Ford Wyoming Center brings major acts that draw regional crowds, while Casper Pride and David Street Station host neighbourhood-focused events that foster ongoing connection.</w:t>
      </w:r>
      <w:r/>
    </w:p>
    <w:p>
      <w:r/>
      <w:r>
        <w:t>Event organisers and local tourism groups often highlight this blend as a selling point, and it’s easy to see why , you can get a slick arena night out, then spend a weekend morning at a relaxed market. That variety keeps calendar options fresh and makes it easier for residents to find events that suit their mood and company.</w:t>
      </w:r>
      <w:r/>
    </w:p>
    <w:p>
      <w:r/>
      <w:r>
        <w:t>If you’re new to town or just looking to try different scenes, mix and match: a Friday gig at the Ford, a Saturday market roam, and an October evening at Drag Bingo gives a broad taste of what Casper offers.</w:t>
      </w:r>
      <w:r/>
    </w:p>
    <w:p>
      <w:pPr>
        <w:pStyle w:val="Heading2"/>
      </w:pPr>
      <w:r>
        <w:t>Practical tips for enjoying Casper events</w:t>
      </w:r>
      <w:r/>
    </w:p>
    <w:p>
      <w:r/>
      <w:r>
        <w:t>Plan ahead for parking and arrival times, especially for popular shows and weekend festivals. Check venue social channels and local event pages for last-minute changes. Bring small cash for market vendors and bingo prizes, dress in layers for indoor and outdoor shifts, and arrive early to secure a good spot.</w:t>
      </w:r>
      <w:r/>
    </w:p>
    <w:p>
      <w:r/>
      <w:r>
        <w:t>Finally, be open to chatting with locals , it’s often the best part of attending these gatherings.</w:t>
      </w:r>
      <w:r/>
    </w:p>
    <w:p>
      <w:r/>
      <w:r>
        <w:t>It’s a small change that can make every outing feel more connected and enjoyable.</w:t>
      </w:r>
      <w:r/>
    </w:p>
    <w:p>
      <w:pPr>
        <w:pStyle w:val="Heading3"/>
      </w:pPr>
      <w:r>
        <w:t>Source Reference Map</w:t>
      </w:r>
      <w:r/>
    </w:p>
    <w:p>
      <w:r/>
      <w:r>
        <w:rPr>
          <w:b/>
        </w:rPr>
        <w:t>Story idea inspired by:</w:t>
      </w:r>
      <w:r>
        <w:t xml:space="preserve"> </w:t>
      </w:r>
      <w:hyperlink r:id="rId9">
        <w:r>
          <w:rPr>
            <w:color w:val="0000EE"/>
            <w:u w:val="single"/>
          </w:rPr>
          <w:t>[1]</w:t>
        </w:r>
      </w:hyperlink>
      <w:r/>
    </w:p>
    <w:p>
      <w:r/>
      <w:r>
        <w:rPr>
          <w:b/>
        </w:rPr>
        <w:t>Sources by paragraph:</w:t>
      </w:r>
      <w:r>
        <w:t xml:space="preserve">- Paragraph 1: </w:t>
      </w:r>
      <w:hyperlink r:id="rId10">
        <w:r>
          <w:rPr>
            <w:color w:val="0000EE"/>
            <w:u w:val="single"/>
          </w:rPr>
          <w:t>[2]</w:t>
        </w:r>
      </w:hyperlink>
      <w:r>
        <w:t xml:space="preserve">, </w:t>
      </w:r>
      <w:hyperlink r:id="rId11">
        <w:r>
          <w:rPr>
            <w:color w:val="0000EE"/>
            <w:u w:val="single"/>
          </w:rPr>
          <w:t>[4]</w:t>
        </w:r>
      </w:hyperlink>
      <w:r>
        <w:t xml:space="preserve">- Paragraph 2: </w:t>
      </w:r>
      <w:hyperlink r:id="rId11">
        <w:r>
          <w:rPr>
            <w:color w:val="0000EE"/>
            <w:u w:val="single"/>
          </w:rPr>
          <w:t>[4]</w:t>
        </w:r>
      </w:hyperlink>
      <w:r>
        <w:t xml:space="preserve">, </w:t>
      </w:r>
      <w:hyperlink r:id="rId10">
        <w:r>
          <w:rPr>
            <w:color w:val="0000EE"/>
            <w:u w:val="single"/>
          </w:rPr>
          <w:t>[2]</w:t>
        </w:r>
      </w:hyperlink>
      <w:r>
        <w:t xml:space="preserve">- Paragraph 3: </w:t>
      </w:r>
      <w:hyperlink r:id="rId11">
        <w:r>
          <w:rPr>
            <w:color w:val="0000EE"/>
            <w:u w:val="single"/>
          </w:rPr>
          <w:t>[4]</w:t>
        </w:r>
      </w:hyperlink>
      <w:r>
        <w:t xml:space="preserve">, </w:t>
      </w:r>
      <w:hyperlink r:id="rId10">
        <w:r>
          <w:rPr>
            <w:color w:val="0000EE"/>
            <w:u w:val="single"/>
          </w:rPr>
          <w:t>[2]</w:t>
        </w:r>
      </w:hyperlink>
      <w:r>
        <w:t xml:space="preserve">- Paragraph 4: </w:t>
      </w:r>
      <w:hyperlink r:id="rId12">
        <w:r>
          <w:rPr>
            <w:color w:val="0000EE"/>
            <w:u w:val="single"/>
          </w:rPr>
          <w:t>[3]</w:t>
        </w:r>
      </w:hyperlink>
      <w:r>
        <w:t xml:space="preserve">, </w:t>
      </w:r>
      <w:hyperlink r:id="rId13">
        <w:r>
          <w:rPr>
            <w:color w:val="0000EE"/>
            <w:u w:val="single"/>
          </w:rPr>
          <w:t>[5]</w:t>
        </w:r>
      </w:hyperlink>
      <w:r>
        <w:t xml:space="preserve">- Paragraph 5: </w:t>
      </w:r>
      <w:hyperlink r:id="rId10">
        <w:r>
          <w:rPr>
            <w:color w:val="0000EE"/>
            <w:u w:val="single"/>
          </w:rPr>
          <w:t>[6]</w:t>
        </w:r>
      </w:hyperlink>
      <w:r>
        <w:t xml:space="preserve">, </w:t>
      </w:r>
      <w:hyperlink r:id="rId10">
        <w:r>
          <w:rPr>
            <w:color w:val="0000EE"/>
            <w:u w:val="single"/>
          </w:rPr>
          <w:t>[7]</w:t>
        </w:r>
      </w:hyperlink>
      <w:r>
        <w:t xml:space="preserve">- Paragraph 6: </w:t>
      </w:r>
      <w:hyperlink r:id="rId10">
        <w:r>
          <w:rPr>
            <w:color w:val="0000EE"/>
            <w:u w:val="single"/>
          </w:rPr>
          <w:t>[2]</w:t>
        </w:r>
      </w:hyperlink>
      <w:r>
        <w:t xml:space="preserve">, </w:t>
      </w:r>
      <w:hyperlink r:id="rId12">
        <w:r>
          <w:rPr>
            <w:color w:val="0000EE"/>
            <w:u w:val="single"/>
          </w:rPr>
          <w:t>[3]</w:t>
        </w:r>
      </w:hyperlink>
      <w:r/>
    </w:p>
    <w:p>
      <w:pPr>
        <w:pStyle w:val="Heading2"/>
      </w:pPr>
      <w:r>
        <w:t>Bibliography</w:t>
      </w:r>
      <w:r/>
      <w:r/>
    </w:p>
    <w:p>
      <w:pPr>
        <w:pStyle w:val="ListNumber"/>
        <w:numPr>
          <w:ilvl w:val="0"/>
          <w:numId w:val="14"/>
        </w:numPr>
        <w:spacing w:line="240" w:lineRule="auto"/>
        <w:ind w:left="720"/>
      </w:pPr>
      <w:r/>
      <w:hyperlink r:id="rId9">
        <w:r>
          <w:rPr>
            <w:color w:val="0000EE"/>
            <w:u w:val="single"/>
          </w:rPr>
          <w:t>https://oilcity.news/community/events/2026/08/30/oil-city-news-presents-voices-w-mallory-pollock/</w:t>
        </w:r>
      </w:hyperlink>
      <w:r>
        <w:t xml:space="preserve"> - Please view link - unable to able to access data</w:t>
      </w:r>
      <w:r/>
    </w:p>
    <w:p>
      <w:pPr>
        <w:pStyle w:val="ListNumber"/>
        <w:spacing w:line="240" w:lineRule="auto"/>
        <w:ind w:left="720"/>
      </w:pPr>
      <w:r/>
      <w:hyperlink r:id="rId10">
        <w:r>
          <w:rPr>
            <w:color w:val="0000EE"/>
            <w:u w:val="single"/>
          </w:rPr>
          <w:t>https://www.visitcasper.com/events/funky-junk-fall-edition-2026/</w:t>
        </w:r>
      </w:hyperlink>
      <w:r>
        <w:t xml:space="preserve"> - The Funky Junk Festival is returning to David Street Station in Casper, Wyoming, on September 19, 2026. This bi-annual event features over 100 local vendors, live music, food trucks, and craft beverages. The festival runs from 10:00 AM to 5:00 PM, offering a vibrant atmosphere that supports local artisans and small businesses. Admission is free, and attendees can enjoy a variety of unique, handmade items and local delicacies. The event is a celebration of community spirit and creativity, making it a must-visit for both locals and visitors.</w:t>
      </w:r>
      <w:r/>
    </w:p>
    <w:p>
      <w:pPr>
        <w:pStyle w:val="ListNumber"/>
        <w:spacing w:line="240" w:lineRule="auto"/>
        <w:ind w:left="720"/>
      </w:pPr>
      <w:r/>
      <w:hyperlink r:id="rId12">
        <w:r>
          <w:rPr>
            <w:color w:val="0000EE"/>
            <w:u w:val="single"/>
          </w:rPr>
          <w:t>https://www.fordwyomingcenter.com/events/detail/benson-boone</w:t>
        </w:r>
      </w:hyperlink>
      <w:r>
        <w:t xml:space="preserve"> - Benson Boone, along with special guest Luna Li, is set to perform at the Ford Wyoming Center in Casper on September 3, 2026. The concert begins at 8:00 PM, with doors opening at 6:30 PM. Tickets are available for purchase, and the venue offers various amenities, including premier parking upgrades and private party options. The Ford Wyoming Center is a premier event venue in Casper, hosting a wide range of concerts and events throughout the year.</w:t>
      </w:r>
      <w:r/>
    </w:p>
    <w:p>
      <w:pPr>
        <w:pStyle w:val="ListNumber"/>
        <w:spacing w:line="240" w:lineRule="auto"/>
        <w:ind w:left="720"/>
      </w:pPr>
      <w:r/>
      <w:hyperlink r:id="rId11">
        <w:r>
          <w:rPr>
            <w:color w:val="0000EE"/>
            <w:u w:val="single"/>
          </w:rPr>
          <w:t>https://www.visitcasper.com/events/annual-events-festivals/casper-pride/</w:t>
        </w:r>
      </w:hyperlink>
      <w:r>
        <w:t xml:space="preserve"> - Casper Pride is an annual event held every June in Casper, Wyoming, celebrating and honouring the LGBTQI community. The week-long festivities include festivals, community gatherings at David Street Station, drag shows, and dances. The event aims to advocate for equality and individuality in Wyoming, providing a platform for the LGBTQI community to come together and celebrate their identities. For more information and a full list of events, visitors can check out the Casper Pride website.</w:t>
      </w:r>
      <w:r/>
    </w:p>
    <w:p>
      <w:pPr>
        <w:pStyle w:val="ListNumber"/>
        <w:spacing w:line="240" w:lineRule="auto"/>
        <w:ind w:left="720"/>
      </w:pPr>
      <w:r/>
      <w:hyperlink r:id="rId13">
        <w:r>
          <w:rPr>
            <w:color w:val="0000EE"/>
            <w:u w:val="single"/>
          </w:rPr>
          <w:t>https://www.fordwyomingcenter.com/</w:t>
        </w:r>
      </w:hyperlink>
      <w:r>
        <w:t xml:space="preserve"> - The Ford Wyoming Center is a premier event venue located in Casper, Wyoming. It hosts a variety of events throughout the year, including concerts, sports tournaments, and community gatherings. The venue offers amenities such as premier parking upgrades, private party options, and a range of seating arrangements to accommodate different events. The center is known for its state-of-the-art facilities and commitment to providing a memorable experience for attendees.</w:t>
      </w:r>
      <w:r/>
    </w:p>
    <w:p>
      <w:pPr>
        <w:pStyle w:val="ListNumber"/>
        <w:spacing w:line="240" w:lineRule="auto"/>
        <w:ind w:left="720"/>
      </w:pPr>
      <w:r/>
      <w:hyperlink r:id="rId10">
        <w:r>
          <w:rPr>
            <w:color w:val="0000EE"/>
            <w:u w:val="single"/>
          </w:rPr>
          <w:t>https://www.visitcasper.com/events/funky-junk-fall-edition-2026/</w:t>
        </w:r>
      </w:hyperlink>
      <w:r>
        <w:t xml:space="preserve"> - The Funky Junk Festival is returning to David Street Station in Casper, Wyoming, on September 19, 2026. This bi-annual event features over 100 local vendors, live music, food trucks, and craft beverages. The festival runs from 10:00 AM to 5:00 PM, offering a vibrant atmosphere that supports local artisans and small businesses. Admission is free, and attendees can enjoy a variety of unique, handmade items and local delicacies. The event is a celebration of community spirit and creativity, making it a must-visit for both locals and visitors.</w:t>
      </w:r>
      <w:r/>
    </w:p>
    <w:p>
      <w:pPr>
        <w:pStyle w:val="ListNumber"/>
        <w:spacing w:line="240" w:lineRule="auto"/>
        <w:ind w:left="720"/>
      </w:pPr>
      <w:r/>
      <w:hyperlink r:id="rId10">
        <w:r>
          <w:rPr>
            <w:color w:val="0000EE"/>
            <w:u w:val="single"/>
          </w:rPr>
          <w:t>https://www.visitcasper.com/events/funky-junk-fall-edition-2026/</w:t>
        </w:r>
      </w:hyperlink>
      <w:r>
        <w:t xml:space="preserve"> - The Funky Junk Festival is returning to David Street Station in Casper, Wyoming, on September 19, 2026. This bi-annual event features over 100 local vendors, live music, food trucks, and craft beverages. The festival runs from 10:00 AM to 5:00 PM, offering a vibrant atmosphere that supports local artisans and small businesses. Admission is free, and attendees can enjoy a variety of unique, handmade items and local delicacies. The event is a celebration of community spirit and creativity, making it a must-visit for both locals and visitors.</w:t>
      </w:r>
      <w:r/>
    </w:p>
    <w:sectPr w:rsidR="008F16EB" w:rsidRPr="008F16EB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altName w:val="Courier New"/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79911088"/>
    <w:multiLevelType w:val="hybridMultilevel"/>
    <w:tmpl w:val="B89254AA"/>
    <w:lvl w:ilvl="0" w:tplc="5ED0EE4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3565639">
    <w:abstractNumId w:val="8"/>
  </w:num>
  <w:num w:numId="2" w16cid:durableId="1689715716">
    <w:abstractNumId w:val="6"/>
  </w:num>
  <w:num w:numId="3" w16cid:durableId="1422219261">
    <w:abstractNumId w:val="5"/>
  </w:num>
  <w:num w:numId="4" w16cid:durableId="1639651746">
    <w:abstractNumId w:val="4"/>
  </w:num>
  <w:num w:numId="5" w16cid:durableId="268244051">
    <w:abstractNumId w:val="7"/>
  </w:num>
  <w:num w:numId="6" w16cid:durableId="527262389">
    <w:abstractNumId w:val="3"/>
  </w:num>
  <w:num w:numId="7" w16cid:durableId="2116093898">
    <w:abstractNumId w:val="2"/>
  </w:num>
  <w:num w:numId="8" w16cid:durableId="1487162739">
    <w:abstractNumId w:val="1"/>
  </w:num>
  <w:num w:numId="9" w16cid:durableId="1639265226">
    <w:abstractNumId w:val="0"/>
  </w:num>
  <w:num w:numId="10" w16cid:durableId="495808350">
    <w:abstractNumId w:val="7"/>
    <w:lvlOverride w:ilvl="0">
      <w:startOverride w:val="1"/>
    </w:lvlOverride>
  </w:num>
  <w:num w:numId="11" w16cid:durableId="1894850684">
    <w:abstractNumId w:val="9"/>
  </w:num>
  <w:num w:numId="12" w16cid:durableId="1467312115">
    <w:abstractNumId w:val="9"/>
  </w:num>
  <w:num w:numId="13" w16cid:durableId="1615862868">
    <w:abstractNumId w:val="9"/>
  </w:num>
  <w:num w:numId="14">
    <w:abstractNumId w:val="7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attachedTemplate r:id="rId1"/>
  <w:defaultTabStop w:val="720"/>
  <w:defaultTableStyle w:val="Noah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E31"/>
    <w:rsid w:val="00034616"/>
    <w:rsid w:val="0006063C"/>
    <w:rsid w:val="0015074B"/>
    <w:rsid w:val="0029639D"/>
    <w:rsid w:val="00326F90"/>
    <w:rsid w:val="00327C26"/>
    <w:rsid w:val="006072D1"/>
    <w:rsid w:val="00641096"/>
    <w:rsid w:val="00733E31"/>
    <w:rsid w:val="00782A44"/>
    <w:rsid w:val="007D0B83"/>
    <w:rsid w:val="008F16EB"/>
    <w:rsid w:val="00920A5B"/>
    <w:rsid w:val="00AA1D8D"/>
    <w:rsid w:val="00B47730"/>
    <w:rsid w:val="00CB0664"/>
    <w:rsid w:val="00F369D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2B5D908"/>
  <w14:defaultImageDpi w14:val="300"/>
  <w15:docId w15:val="{AFAB448B-A191-DB46-889A-C1A710B4F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eorgia" w:hAnsi="Georgia" w:cs="Georgia"/>
        <w:sz w:val="22"/>
        <w:szCs w:val="22"/>
        <w:lang w:val="en-US" w:eastAsia="en-US" w:bidi="ar-SA"/>
      </w:rPr>
    </w:rPrDefault>
    <w:pPrDefault>
      <w:pPr>
        <w:spacing w:after="160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1096"/>
  </w:style>
  <w:style w:type="paragraph" w:styleId="Heading1">
    <w:name w:val="heading 1"/>
    <w:basedOn w:val="Normal"/>
    <w:next w:val="Normal"/>
    <w:link w:val="Heading1Char"/>
    <w:uiPriority w:val="9"/>
    <w:qFormat/>
    <w:rsid w:val="00641096"/>
    <w:pPr>
      <w:keepNext/>
      <w:keepLines/>
      <w:spacing w:before="240" w:after="160" w:line="240" w:lineRule="auto"/>
      <w:outlineLvl w:val="0"/>
    </w:pPr>
    <w:rPr>
      <w:rFonts w:ascii="Georgia" w:hAnsi="Georgia" w:cs="Georgia"/>
      <w:b/>
      <w:bCs/>
      <w:color w:val="1C1917"/>
      <w:sz w:val="52"/>
      <w:szCs w:val="52"/>
      <w:w w:val="9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41096"/>
    <w:pPr>
      <w:keepNext/>
      <w:keepLines/>
      <w:spacing w:before="400" w:after="120"/>
      <w:outlineLvl w:val="1"/>
    </w:pPr>
    <w:rPr>
      <w:rFonts w:ascii="Georgia" w:hAnsi="Georgia" w:cs="Georgia"/>
      <w:b/>
      <w:bCs/>
      <w:color w:val="1C1917"/>
      <w:sz w:val="36"/>
      <w:szCs w:val="36"/>
      <w:w w:val="9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41096"/>
    <w:pPr>
      <w:keepNext/>
      <w:keepLines/>
      <w:spacing w:before="320" w:after="80"/>
      <w:outlineLvl w:val="2"/>
    </w:pPr>
    <w:rPr>
      <w:rFonts w:ascii="Georgia" w:hAnsi="Georgia" w:cs="Georgia"/>
      <w:b/>
      <w:bCs/>
      <w:color w:val="374151"/>
      <w:sz w:val="28"/>
      <w:szCs w:val="28"/>
      <w:w w:val="9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4109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4109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0A2F4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41096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A2F4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41096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41096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156082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41096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link w:val="NoSpacingChar"/>
    <w:uiPriority w:val="1"/>
    <w:qFormat/>
    <w:rsid w:val="00641096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641096"/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641096"/>
    <w:rPr>
      <w:rFonts w:asciiTheme="majorHAnsi" w:eastAsiaTheme="majorEastAsia" w:hAnsiTheme="majorHAnsi" w:cstheme="majorBidi"/>
      <w:b/>
      <w:bCs/>
      <w:color w:val="156082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41096"/>
    <w:rPr>
      <w:rFonts w:asciiTheme="majorHAnsi" w:eastAsiaTheme="majorEastAsia" w:hAnsiTheme="majorHAnsi" w:cstheme="majorBidi"/>
      <w:b/>
      <w:bCs/>
      <w:color w:val="156082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641096"/>
    <w:pPr>
      <w:pBdr>
        <w:bottom w:val="single" w:sz="8" w:space="4" w:color="156082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641096"/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41096"/>
    <w:pPr>
      <w:numPr>
        <w:ilvl w:val="1"/>
      </w:numPr>
    </w:pPr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641096"/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641096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641096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641096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41096"/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41096"/>
    <w:rPr>
      <w:rFonts w:asciiTheme="majorHAnsi" w:eastAsiaTheme="majorEastAsia" w:hAnsiTheme="majorHAnsi" w:cstheme="majorBidi"/>
      <w:color w:val="0A2F4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41096"/>
    <w:rPr>
      <w:rFonts w:asciiTheme="majorHAnsi" w:eastAsiaTheme="majorEastAsia" w:hAnsiTheme="majorHAnsi" w:cstheme="majorBidi"/>
      <w:i/>
      <w:iCs/>
      <w:color w:val="0A2F4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4109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41096"/>
    <w:rPr>
      <w:rFonts w:asciiTheme="majorHAnsi" w:eastAsiaTheme="majorEastAsia" w:hAnsiTheme="majorHAnsi" w:cstheme="majorBidi"/>
      <w:color w:val="156082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4109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641096"/>
    <w:pPr>
      <w:spacing w:line="240" w:lineRule="auto"/>
    </w:pPr>
    <w:rPr>
      <w:b/>
      <w:bCs/>
      <w:color w:val="156082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641096"/>
    <w:rPr>
      <w:b/>
      <w:bCs/>
    </w:rPr>
  </w:style>
  <w:style w:type="character" w:styleId="Emphasis">
    <w:name w:val="Emphasis"/>
    <w:basedOn w:val="DefaultParagraphFont"/>
    <w:uiPriority w:val="20"/>
    <w:qFormat/>
    <w:rsid w:val="00641096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1096"/>
    <w:pPr>
      <w:pBdr>
        <w:bottom w:val="single" w:sz="4" w:space="4" w:color="156082" w:themeColor="accent1"/>
      </w:pBdr>
      <w:spacing w:before="200" w:after="280"/>
      <w:ind w:left="936" w:right="936"/>
    </w:pPr>
    <w:rPr>
      <w:b/>
      <w:bCs/>
      <w:i/>
      <w:iCs/>
      <w:color w:val="156082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1096"/>
    <w:rPr>
      <w:b/>
      <w:bCs/>
      <w:i/>
      <w:iCs/>
      <w:color w:val="156082" w:themeColor="accent1"/>
    </w:rPr>
  </w:style>
  <w:style w:type="character" w:styleId="SubtleEmphasis">
    <w:name w:val="Subtle Emphasis"/>
    <w:basedOn w:val="DefaultParagraphFont"/>
    <w:uiPriority w:val="19"/>
    <w:qFormat/>
    <w:rsid w:val="00641096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641096"/>
    <w:rPr>
      <w:b/>
      <w:bCs/>
      <w:i/>
      <w:iCs/>
      <w:color w:val="156082" w:themeColor="accent1"/>
    </w:rPr>
  </w:style>
  <w:style w:type="character" w:styleId="SubtleReference">
    <w:name w:val="Subtle Reference"/>
    <w:basedOn w:val="DefaultParagraphFont"/>
    <w:uiPriority w:val="31"/>
    <w:qFormat/>
    <w:rsid w:val="00641096"/>
    <w:rPr>
      <w:smallCaps/>
      <w:color w:val="E97132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641096"/>
    <w:rPr>
      <w:b/>
      <w:bCs/>
      <w:smallCaps/>
      <w:color w:val="E97132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641096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41096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8" w:space="0" w:color="156082" w:themeColor="accent1"/>
        <w:bottom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8" w:space="0" w:color="E97132" w:themeColor="accent2"/>
        <w:bottom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97132" w:themeColor="accent2"/>
          <w:left w:val="nil"/>
          <w:bottom w:val="single" w:sz="8" w:space="0" w:color="E97132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97132" w:themeColor="accent2"/>
          <w:left w:val="nil"/>
          <w:bottom w:val="single" w:sz="8" w:space="0" w:color="E97132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8" w:space="0" w:color="196B24" w:themeColor="accent3"/>
        <w:bottom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6B24" w:themeColor="accent3"/>
          <w:left w:val="nil"/>
          <w:bottom w:val="single" w:sz="8" w:space="0" w:color="196B24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6B24" w:themeColor="accent3"/>
          <w:left w:val="nil"/>
          <w:bottom w:val="single" w:sz="8" w:space="0" w:color="196B24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8" w:space="0" w:color="0F9ED5" w:themeColor="accent4"/>
        <w:bottom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9ED5" w:themeColor="accent4"/>
          <w:left w:val="nil"/>
          <w:bottom w:val="single" w:sz="8" w:space="0" w:color="0F9ED5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9ED5" w:themeColor="accent4"/>
          <w:left w:val="nil"/>
          <w:bottom w:val="single" w:sz="8" w:space="0" w:color="0F9ED5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8" w:space="0" w:color="A02B93" w:themeColor="accent5"/>
        <w:bottom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2B93" w:themeColor="accent5"/>
          <w:left w:val="nil"/>
          <w:bottom w:val="single" w:sz="8" w:space="0" w:color="A02B93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2B93" w:themeColor="accent5"/>
          <w:left w:val="nil"/>
          <w:bottom w:val="single" w:sz="8" w:space="0" w:color="A02B93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8" w:space="0" w:color="4EA72E" w:themeColor="accent6"/>
        <w:bottom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A72E" w:themeColor="accent6"/>
          <w:left w:val="nil"/>
          <w:bottom w:val="single" w:sz="8" w:space="0" w:color="4EA72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A72E" w:themeColor="accent6"/>
          <w:left w:val="nil"/>
          <w:bottom w:val="single" w:sz="8" w:space="0" w:color="4EA72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band1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band1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band1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band1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band1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band1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  <w:insideH w:val="single" w:sz="8" w:space="0" w:color="156082" w:themeColor="accent1"/>
        <w:insideV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18" w:space="0" w:color="156082" w:themeColor="accent1"/>
          <w:right w:val="single" w:sz="8" w:space="0" w:color="156082" w:themeColor="accent1"/>
          <w:insideH w:val="nil"/>
          <w:insideV w:val="single" w:sz="8" w:space="0" w:color="156082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H w:val="nil"/>
          <w:insideV w:val="single" w:sz="8" w:space="0" w:color="156082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band1Vert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  <w:shd w:val="clear" w:color="auto" w:fill="B2DEF2" w:themeFill="accent1" w:themeFillTint="3F"/>
      </w:tcPr>
    </w:tblStylePr>
    <w:tblStylePr w:type="band1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V w:val="single" w:sz="8" w:space="0" w:color="156082" w:themeColor="accent1"/>
        </w:tcBorders>
        <w:shd w:val="clear" w:color="auto" w:fill="B2DEF2" w:themeFill="accent1" w:themeFillTint="3F"/>
      </w:tcPr>
    </w:tblStylePr>
    <w:tblStylePr w:type="band2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V w:val="single" w:sz="8" w:space="0" w:color="156082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  <w:insideH w:val="single" w:sz="8" w:space="0" w:color="E97132" w:themeColor="accent2"/>
        <w:insideV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18" w:space="0" w:color="E97132" w:themeColor="accent2"/>
          <w:right w:val="single" w:sz="8" w:space="0" w:color="E97132" w:themeColor="accent2"/>
          <w:insideH w:val="nil"/>
          <w:insideV w:val="single" w:sz="8" w:space="0" w:color="E97132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H w:val="nil"/>
          <w:insideV w:val="single" w:sz="8" w:space="0" w:color="E97132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band1Vert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  <w:shd w:val="clear" w:color="auto" w:fill="F9DBCC" w:themeFill="accent2" w:themeFillTint="3F"/>
      </w:tcPr>
    </w:tblStylePr>
    <w:tblStylePr w:type="band1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V w:val="single" w:sz="8" w:space="0" w:color="E97132" w:themeColor="accent2"/>
        </w:tcBorders>
        <w:shd w:val="clear" w:color="auto" w:fill="F9DBCC" w:themeFill="accent2" w:themeFillTint="3F"/>
      </w:tcPr>
    </w:tblStylePr>
    <w:tblStylePr w:type="band2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V w:val="single" w:sz="8" w:space="0" w:color="E97132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  <w:insideH w:val="single" w:sz="8" w:space="0" w:color="196B24" w:themeColor="accent3"/>
        <w:insideV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18" w:space="0" w:color="196B24" w:themeColor="accent3"/>
          <w:right w:val="single" w:sz="8" w:space="0" w:color="196B24" w:themeColor="accent3"/>
          <w:insideH w:val="nil"/>
          <w:insideV w:val="single" w:sz="8" w:space="0" w:color="196B24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H w:val="nil"/>
          <w:insideV w:val="single" w:sz="8" w:space="0" w:color="196B24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band1Vert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  <w:shd w:val="clear" w:color="auto" w:fill="B3EDBA" w:themeFill="accent3" w:themeFillTint="3F"/>
      </w:tcPr>
    </w:tblStylePr>
    <w:tblStylePr w:type="band1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V w:val="single" w:sz="8" w:space="0" w:color="196B24" w:themeColor="accent3"/>
        </w:tcBorders>
        <w:shd w:val="clear" w:color="auto" w:fill="B3EDBA" w:themeFill="accent3" w:themeFillTint="3F"/>
      </w:tcPr>
    </w:tblStylePr>
    <w:tblStylePr w:type="band2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V w:val="single" w:sz="8" w:space="0" w:color="196B24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  <w:insideH w:val="single" w:sz="8" w:space="0" w:color="0F9ED5" w:themeColor="accent4"/>
        <w:insideV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18" w:space="0" w:color="0F9ED5" w:themeColor="accent4"/>
          <w:right w:val="single" w:sz="8" w:space="0" w:color="0F9ED5" w:themeColor="accent4"/>
          <w:insideH w:val="nil"/>
          <w:insideV w:val="single" w:sz="8" w:space="0" w:color="0F9ED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H w:val="nil"/>
          <w:insideV w:val="single" w:sz="8" w:space="0" w:color="0F9ED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band1Vert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  <w:shd w:val="clear" w:color="auto" w:fill="BDE9FA" w:themeFill="accent4" w:themeFillTint="3F"/>
      </w:tcPr>
    </w:tblStylePr>
    <w:tblStylePr w:type="band1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V w:val="single" w:sz="8" w:space="0" w:color="0F9ED5" w:themeColor="accent4"/>
        </w:tcBorders>
        <w:shd w:val="clear" w:color="auto" w:fill="BDE9FA" w:themeFill="accent4" w:themeFillTint="3F"/>
      </w:tcPr>
    </w:tblStylePr>
    <w:tblStylePr w:type="band2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V w:val="single" w:sz="8" w:space="0" w:color="0F9ED5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  <w:insideH w:val="single" w:sz="8" w:space="0" w:color="A02B93" w:themeColor="accent5"/>
        <w:insideV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18" w:space="0" w:color="A02B93" w:themeColor="accent5"/>
          <w:right w:val="single" w:sz="8" w:space="0" w:color="A02B93" w:themeColor="accent5"/>
          <w:insideH w:val="nil"/>
          <w:insideV w:val="single" w:sz="8" w:space="0" w:color="A02B93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H w:val="nil"/>
          <w:insideV w:val="single" w:sz="8" w:space="0" w:color="A02B93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band1Vert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  <w:shd w:val="clear" w:color="auto" w:fill="EFC3E9" w:themeFill="accent5" w:themeFillTint="3F"/>
      </w:tcPr>
    </w:tblStylePr>
    <w:tblStylePr w:type="band1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V w:val="single" w:sz="8" w:space="0" w:color="A02B93" w:themeColor="accent5"/>
        </w:tcBorders>
        <w:shd w:val="clear" w:color="auto" w:fill="EFC3E9" w:themeFill="accent5" w:themeFillTint="3F"/>
      </w:tcPr>
    </w:tblStylePr>
    <w:tblStylePr w:type="band2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V w:val="single" w:sz="8" w:space="0" w:color="A02B93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  <w:insideH w:val="single" w:sz="8" w:space="0" w:color="4EA72E" w:themeColor="accent6"/>
        <w:insideV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18" w:space="0" w:color="4EA72E" w:themeColor="accent6"/>
          <w:right w:val="single" w:sz="8" w:space="0" w:color="4EA72E" w:themeColor="accent6"/>
          <w:insideH w:val="nil"/>
          <w:insideV w:val="single" w:sz="8" w:space="0" w:color="4EA72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H w:val="nil"/>
          <w:insideV w:val="single" w:sz="8" w:space="0" w:color="4EA72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band1Vert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  <w:shd w:val="clear" w:color="auto" w:fill="D0EFC5" w:themeFill="accent6" w:themeFillTint="3F"/>
      </w:tcPr>
    </w:tblStylePr>
    <w:tblStylePr w:type="band1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V w:val="single" w:sz="8" w:space="0" w:color="4EA72E" w:themeColor="accent6"/>
        </w:tcBorders>
        <w:shd w:val="clear" w:color="auto" w:fill="D0EFC5" w:themeFill="accent6" w:themeFillTint="3F"/>
      </w:tcPr>
    </w:tblStylePr>
    <w:tblStylePr w:type="band2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V w:val="single" w:sz="8" w:space="0" w:color="4EA72E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2198CF" w:themeColor="accent1" w:themeTint="BF"/>
        <w:left w:val="single" w:sz="8" w:space="0" w:color="2198CF" w:themeColor="accent1" w:themeTint="BF"/>
        <w:bottom w:val="single" w:sz="8" w:space="0" w:color="2198CF" w:themeColor="accent1" w:themeTint="BF"/>
        <w:right w:val="single" w:sz="8" w:space="0" w:color="2198CF" w:themeColor="accent1" w:themeTint="BF"/>
        <w:insideH w:val="single" w:sz="8" w:space="0" w:color="2198C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198CF" w:themeColor="accent1" w:themeTint="BF"/>
          <w:left w:val="single" w:sz="8" w:space="0" w:color="2198CF" w:themeColor="accent1" w:themeTint="BF"/>
          <w:bottom w:val="single" w:sz="8" w:space="0" w:color="2198CF" w:themeColor="accent1" w:themeTint="BF"/>
          <w:right w:val="single" w:sz="8" w:space="0" w:color="2198CF" w:themeColor="accent1" w:themeTint="BF"/>
          <w:insideH w:val="nil"/>
          <w:insideV w:val="nil"/>
        </w:tcBorders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198CF" w:themeColor="accent1" w:themeTint="BF"/>
          <w:left w:val="single" w:sz="8" w:space="0" w:color="2198CF" w:themeColor="accent1" w:themeTint="BF"/>
          <w:bottom w:val="single" w:sz="8" w:space="0" w:color="2198CF" w:themeColor="accent1" w:themeTint="BF"/>
          <w:right w:val="single" w:sz="8" w:space="0" w:color="2198C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DEF2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2DEF2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EE9465" w:themeColor="accent2" w:themeTint="BF"/>
        <w:left w:val="single" w:sz="8" w:space="0" w:color="EE9465" w:themeColor="accent2" w:themeTint="BF"/>
        <w:bottom w:val="single" w:sz="8" w:space="0" w:color="EE9465" w:themeColor="accent2" w:themeTint="BF"/>
        <w:right w:val="single" w:sz="8" w:space="0" w:color="EE9465" w:themeColor="accent2" w:themeTint="BF"/>
        <w:insideH w:val="single" w:sz="8" w:space="0" w:color="EE9465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E9465" w:themeColor="accent2" w:themeTint="BF"/>
          <w:left w:val="single" w:sz="8" w:space="0" w:color="EE9465" w:themeColor="accent2" w:themeTint="BF"/>
          <w:bottom w:val="single" w:sz="8" w:space="0" w:color="EE9465" w:themeColor="accent2" w:themeTint="BF"/>
          <w:right w:val="single" w:sz="8" w:space="0" w:color="EE9465" w:themeColor="accent2" w:themeTint="BF"/>
          <w:insideH w:val="nil"/>
          <w:insideV w:val="nil"/>
        </w:tcBorders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E9465" w:themeColor="accent2" w:themeTint="BF"/>
          <w:left w:val="single" w:sz="8" w:space="0" w:color="EE9465" w:themeColor="accent2" w:themeTint="BF"/>
          <w:bottom w:val="single" w:sz="8" w:space="0" w:color="EE9465" w:themeColor="accent2" w:themeTint="BF"/>
          <w:right w:val="single" w:sz="8" w:space="0" w:color="EE9465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BCC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9DBCC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2BB73D" w:themeColor="accent3" w:themeTint="BF"/>
        <w:left w:val="single" w:sz="8" w:space="0" w:color="2BB73D" w:themeColor="accent3" w:themeTint="BF"/>
        <w:bottom w:val="single" w:sz="8" w:space="0" w:color="2BB73D" w:themeColor="accent3" w:themeTint="BF"/>
        <w:right w:val="single" w:sz="8" w:space="0" w:color="2BB73D" w:themeColor="accent3" w:themeTint="BF"/>
        <w:insideH w:val="single" w:sz="8" w:space="0" w:color="2BB73D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BB73D" w:themeColor="accent3" w:themeTint="BF"/>
          <w:left w:val="single" w:sz="8" w:space="0" w:color="2BB73D" w:themeColor="accent3" w:themeTint="BF"/>
          <w:bottom w:val="single" w:sz="8" w:space="0" w:color="2BB73D" w:themeColor="accent3" w:themeTint="BF"/>
          <w:right w:val="single" w:sz="8" w:space="0" w:color="2BB73D" w:themeColor="accent3" w:themeTint="BF"/>
          <w:insideH w:val="nil"/>
          <w:insideV w:val="nil"/>
        </w:tcBorders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BB73D" w:themeColor="accent3" w:themeTint="BF"/>
          <w:left w:val="single" w:sz="8" w:space="0" w:color="2BB73D" w:themeColor="accent3" w:themeTint="BF"/>
          <w:bottom w:val="single" w:sz="8" w:space="0" w:color="2BB73D" w:themeColor="accent3" w:themeTint="BF"/>
          <w:right w:val="single" w:sz="8" w:space="0" w:color="2BB73D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EDBA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EDBA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39BEF1" w:themeColor="accent4" w:themeTint="BF"/>
        <w:left w:val="single" w:sz="8" w:space="0" w:color="39BEF1" w:themeColor="accent4" w:themeTint="BF"/>
        <w:bottom w:val="single" w:sz="8" w:space="0" w:color="39BEF1" w:themeColor="accent4" w:themeTint="BF"/>
        <w:right w:val="single" w:sz="8" w:space="0" w:color="39BEF1" w:themeColor="accent4" w:themeTint="BF"/>
        <w:insideH w:val="single" w:sz="8" w:space="0" w:color="39BEF1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9BEF1" w:themeColor="accent4" w:themeTint="BF"/>
          <w:left w:val="single" w:sz="8" w:space="0" w:color="39BEF1" w:themeColor="accent4" w:themeTint="BF"/>
          <w:bottom w:val="single" w:sz="8" w:space="0" w:color="39BEF1" w:themeColor="accent4" w:themeTint="BF"/>
          <w:right w:val="single" w:sz="8" w:space="0" w:color="39BEF1" w:themeColor="accent4" w:themeTint="BF"/>
          <w:insideH w:val="nil"/>
          <w:insideV w:val="nil"/>
        </w:tcBorders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9BEF1" w:themeColor="accent4" w:themeTint="BF"/>
          <w:left w:val="single" w:sz="8" w:space="0" w:color="39BEF1" w:themeColor="accent4" w:themeTint="BF"/>
          <w:bottom w:val="single" w:sz="8" w:space="0" w:color="39BEF1" w:themeColor="accent4" w:themeTint="BF"/>
          <w:right w:val="single" w:sz="8" w:space="0" w:color="39BEF1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E9FA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DE9FA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E49BF" w:themeColor="accent5" w:themeTint="BF"/>
        <w:left w:val="single" w:sz="8" w:space="0" w:color="CE49BF" w:themeColor="accent5" w:themeTint="BF"/>
        <w:bottom w:val="single" w:sz="8" w:space="0" w:color="CE49BF" w:themeColor="accent5" w:themeTint="BF"/>
        <w:right w:val="single" w:sz="8" w:space="0" w:color="CE49BF" w:themeColor="accent5" w:themeTint="BF"/>
        <w:insideH w:val="single" w:sz="8" w:space="0" w:color="CE49B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E49BF" w:themeColor="accent5" w:themeTint="BF"/>
          <w:left w:val="single" w:sz="8" w:space="0" w:color="CE49BF" w:themeColor="accent5" w:themeTint="BF"/>
          <w:bottom w:val="single" w:sz="8" w:space="0" w:color="CE49BF" w:themeColor="accent5" w:themeTint="BF"/>
          <w:right w:val="single" w:sz="8" w:space="0" w:color="CE49BF" w:themeColor="accent5" w:themeTint="BF"/>
          <w:insideH w:val="nil"/>
          <w:insideV w:val="nil"/>
        </w:tcBorders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E49BF" w:themeColor="accent5" w:themeTint="BF"/>
          <w:left w:val="single" w:sz="8" w:space="0" w:color="CE49BF" w:themeColor="accent5" w:themeTint="BF"/>
          <w:bottom w:val="single" w:sz="8" w:space="0" w:color="CE49BF" w:themeColor="accent5" w:themeTint="BF"/>
          <w:right w:val="single" w:sz="8" w:space="0" w:color="CE49B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C3E9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C3E9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1CF50" w:themeColor="accent6" w:themeTint="BF"/>
        <w:left w:val="single" w:sz="8" w:space="0" w:color="71CF50" w:themeColor="accent6" w:themeTint="BF"/>
        <w:bottom w:val="single" w:sz="8" w:space="0" w:color="71CF50" w:themeColor="accent6" w:themeTint="BF"/>
        <w:right w:val="single" w:sz="8" w:space="0" w:color="71CF50" w:themeColor="accent6" w:themeTint="BF"/>
        <w:insideH w:val="single" w:sz="8" w:space="0" w:color="71CF5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1CF50" w:themeColor="accent6" w:themeTint="BF"/>
          <w:left w:val="single" w:sz="8" w:space="0" w:color="71CF50" w:themeColor="accent6" w:themeTint="BF"/>
          <w:bottom w:val="single" w:sz="8" w:space="0" w:color="71CF50" w:themeColor="accent6" w:themeTint="BF"/>
          <w:right w:val="single" w:sz="8" w:space="0" w:color="71CF50" w:themeColor="accent6" w:themeTint="BF"/>
          <w:insideH w:val="nil"/>
          <w:insideV w:val="nil"/>
        </w:tcBorders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CF50" w:themeColor="accent6" w:themeTint="BF"/>
          <w:left w:val="single" w:sz="8" w:space="0" w:color="71CF50" w:themeColor="accent6" w:themeTint="BF"/>
          <w:bottom w:val="single" w:sz="8" w:space="0" w:color="71CF50" w:themeColor="accent6" w:themeTint="BF"/>
          <w:right w:val="single" w:sz="8" w:space="0" w:color="71CF5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FC5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EFC5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5608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56082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713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97132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6B24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96B24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F9ED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F9ED5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2B9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2B93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A72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EA72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bottom w:val="single" w:sz="8" w:space="0" w:color="156082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56082" w:themeColor="accent1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156082" w:themeColor="accent1"/>
          <w:bottom w:val="single" w:sz="8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56082" w:themeColor="accent1"/>
          <w:bottom w:val="single" w:sz="8" w:space="0" w:color="156082" w:themeColor="accent1"/>
        </w:tcBorders>
      </w:tcPr>
    </w:tblStylePr>
    <w:tblStylePr w:type="band1Vert">
      <w:tblPr/>
      <w:tcPr>
        <w:shd w:val="clear" w:color="auto" w:fill="B2DEF2" w:themeFill="accent1" w:themeFillTint="3F"/>
      </w:tcPr>
    </w:tblStylePr>
    <w:tblStylePr w:type="band1Horz">
      <w:tblPr/>
      <w:tcPr>
        <w:shd w:val="clear" w:color="auto" w:fill="B2DEF2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bottom w:val="single" w:sz="8" w:space="0" w:color="E97132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97132" w:themeColor="accent2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E97132" w:themeColor="accent2"/>
          <w:bottom w:val="single" w:sz="8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97132" w:themeColor="accent2"/>
          <w:bottom w:val="single" w:sz="8" w:space="0" w:color="E97132" w:themeColor="accent2"/>
        </w:tcBorders>
      </w:tcPr>
    </w:tblStylePr>
    <w:tblStylePr w:type="band1Vert">
      <w:tblPr/>
      <w:tcPr>
        <w:shd w:val="clear" w:color="auto" w:fill="F9DBCC" w:themeFill="accent2" w:themeFillTint="3F"/>
      </w:tcPr>
    </w:tblStylePr>
    <w:tblStylePr w:type="band1Horz">
      <w:tblPr/>
      <w:tcPr>
        <w:shd w:val="clear" w:color="auto" w:fill="F9DBCC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bottom w:val="single" w:sz="8" w:space="0" w:color="196B24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96B24" w:themeColor="accent3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196B24" w:themeColor="accent3"/>
          <w:bottom w:val="single" w:sz="8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96B24" w:themeColor="accent3"/>
          <w:bottom w:val="single" w:sz="8" w:space="0" w:color="196B24" w:themeColor="accent3"/>
        </w:tcBorders>
      </w:tcPr>
    </w:tblStylePr>
    <w:tblStylePr w:type="band1Vert">
      <w:tblPr/>
      <w:tcPr>
        <w:shd w:val="clear" w:color="auto" w:fill="B3EDBA" w:themeFill="accent3" w:themeFillTint="3F"/>
      </w:tcPr>
    </w:tblStylePr>
    <w:tblStylePr w:type="band1Horz">
      <w:tblPr/>
      <w:tcPr>
        <w:shd w:val="clear" w:color="auto" w:fill="B3EDBA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bottom w:val="single" w:sz="8" w:space="0" w:color="0F9ED5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F9ED5" w:themeColor="accent4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0F9ED5" w:themeColor="accent4"/>
          <w:bottom w:val="single" w:sz="8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F9ED5" w:themeColor="accent4"/>
          <w:bottom w:val="single" w:sz="8" w:space="0" w:color="0F9ED5" w:themeColor="accent4"/>
        </w:tcBorders>
      </w:tcPr>
    </w:tblStylePr>
    <w:tblStylePr w:type="band1Vert">
      <w:tblPr/>
      <w:tcPr>
        <w:shd w:val="clear" w:color="auto" w:fill="BDE9FA" w:themeFill="accent4" w:themeFillTint="3F"/>
      </w:tcPr>
    </w:tblStylePr>
    <w:tblStylePr w:type="band1Horz">
      <w:tblPr/>
      <w:tcPr>
        <w:shd w:val="clear" w:color="auto" w:fill="BDE9FA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bottom w:val="single" w:sz="8" w:space="0" w:color="A02B93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2B93" w:themeColor="accent5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A02B93" w:themeColor="accent5"/>
          <w:bottom w:val="single" w:sz="8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2B93" w:themeColor="accent5"/>
          <w:bottom w:val="single" w:sz="8" w:space="0" w:color="A02B93" w:themeColor="accent5"/>
        </w:tcBorders>
      </w:tcPr>
    </w:tblStylePr>
    <w:tblStylePr w:type="band1Vert">
      <w:tblPr/>
      <w:tcPr>
        <w:shd w:val="clear" w:color="auto" w:fill="EFC3E9" w:themeFill="accent5" w:themeFillTint="3F"/>
      </w:tcPr>
    </w:tblStylePr>
    <w:tblStylePr w:type="band1Horz">
      <w:tblPr/>
      <w:tcPr>
        <w:shd w:val="clear" w:color="auto" w:fill="EFC3E9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bottom w:val="single" w:sz="8" w:space="0" w:color="4EA72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EA72E" w:themeColor="accent6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4EA72E" w:themeColor="accent6"/>
          <w:bottom w:val="single" w:sz="8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EA72E" w:themeColor="accent6"/>
          <w:bottom w:val="single" w:sz="8" w:space="0" w:color="4EA72E" w:themeColor="accent6"/>
        </w:tcBorders>
      </w:tcPr>
    </w:tblStylePr>
    <w:tblStylePr w:type="band1Vert">
      <w:tblPr/>
      <w:tcPr>
        <w:shd w:val="clear" w:color="auto" w:fill="D0EFC5" w:themeFill="accent6" w:themeFillTint="3F"/>
      </w:tcPr>
    </w:tblStylePr>
    <w:tblStylePr w:type="band1Horz">
      <w:tblPr/>
      <w:tcPr>
        <w:shd w:val="clear" w:color="auto" w:fill="D0EFC5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56082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56082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56082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56082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2DEF2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97132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97132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97132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9DBCC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96B2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96B24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96B24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96B24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EDBA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F9ED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F9ED5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F9ED5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F9ED5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DE9FA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2B9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02B93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2B93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2B93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C3E9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EA72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EA72E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EA72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EA72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EFC5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2198CF" w:themeColor="accent1" w:themeTint="BF"/>
        <w:left w:val="single" w:sz="8" w:space="0" w:color="2198CF" w:themeColor="accent1" w:themeTint="BF"/>
        <w:bottom w:val="single" w:sz="8" w:space="0" w:color="2198CF" w:themeColor="accent1" w:themeTint="BF"/>
        <w:right w:val="single" w:sz="8" w:space="0" w:color="2198CF" w:themeColor="accent1" w:themeTint="BF"/>
        <w:insideH w:val="single" w:sz="8" w:space="0" w:color="2198CF" w:themeColor="accent1" w:themeTint="BF"/>
        <w:insideV w:val="single" w:sz="8" w:space="0" w:color="2198CF" w:themeColor="accent1" w:themeTint="BF"/>
      </w:tblBorders>
    </w:tblPr>
    <w:tcPr>
      <w:shd w:val="clear" w:color="auto" w:fill="B2DEF2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198C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shd w:val="clear" w:color="auto" w:fill="64BDE6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EE9465" w:themeColor="accent2" w:themeTint="BF"/>
        <w:left w:val="single" w:sz="8" w:space="0" w:color="EE9465" w:themeColor="accent2" w:themeTint="BF"/>
        <w:bottom w:val="single" w:sz="8" w:space="0" w:color="EE9465" w:themeColor="accent2" w:themeTint="BF"/>
        <w:right w:val="single" w:sz="8" w:space="0" w:color="EE9465" w:themeColor="accent2" w:themeTint="BF"/>
        <w:insideH w:val="single" w:sz="8" w:space="0" w:color="EE9465" w:themeColor="accent2" w:themeTint="BF"/>
        <w:insideV w:val="single" w:sz="8" w:space="0" w:color="EE9465" w:themeColor="accent2" w:themeTint="BF"/>
      </w:tblBorders>
    </w:tblPr>
    <w:tcPr>
      <w:shd w:val="clear" w:color="auto" w:fill="F9DBCC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E9465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shd w:val="clear" w:color="auto" w:fill="F4B798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2BB73D" w:themeColor="accent3" w:themeTint="BF"/>
        <w:left w:val="single" w:sz="8" w:space="0" w:color="2BB73D" w:themeColor="accent3" w:themeTint="BF"/>
        <w:bottom w:val="single" w:sz="8" w:space="0" w:color="2BB73D" w:themeColor="accent3" w:themeTint="BF"/>
        <w:right w:val="single" w:sz="8" w:space="0" w:color="2BB73D" w:themeColor="accent3" w:themeTint="BF"/>
        <w:insideH w:val="single" w:sz="8" w:space="0" w:color="2BB73D" w:themeColor="accent3" w:themeTint="BF"/>
        <w:insideV w:val="single" w:sz="8" w:space="0" w:color="2BB73D" w:themeColor="accent3" w:themeTint="BF"/>
      </w:tblBorders>
    </w:tblPr>
    <w:tcPr>
      <w:shd w:val="clear" w:color="auto" w:fill="B3EDBA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BB73D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39BEF1" w:themeColor="accent4" w:themeTint="BF"/>
        <w:left w:val="single" w:sz="8" w:space="0" w:color="39BEF1" w:themeColor="accent4" w:themeTint="BF"/>
        <w:bottom w:val="single" w:sz="8" w:space="0" w:color="39BEF1" w:themeColor="accent4" w:themeTint="BF"/>
        <w:right w:val="single" w:sz="8" w:space="0" w:color="39BEF1" w:themeColor="accent4" w:themeTint="BF"/>
        <w:insideH w:val="single" w:sz="8" w:space="0" w:color="39BEF1" w:themeColor="accent4" w:themeTint="BF"/>
        <w:insideV w:val="single" w:sz="8" w:space="0" w:color="39BEF1" w:themeColor="accent4" w:themeTint="BF"/>
      </w:tblBorders>
    </w:tblPr>
    <w:tcPr>
      <w:shd w:val="clear" w:color="auto" w:fill="BDE9FA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9BEF1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shd w:val="clear" w:color="auto" w:fill="7BD3F5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E49BF" w:themeColor="accent5" w:themeTint="BF"/>
        <w:left w:val="single" w:sz="8" w:space="0" w:color="CE49BF" w:themeColor="accent5" w:themeTint="BF"/>
        <w:bottom w:val="single" w:sz="8" w:space="0" w:color="CE49BF" w:themeColor="accent5" w:themeTint="BF"/>
        <w:right w:val="single" w:sz="8" w:space="0" w:color="CE49BF" w:themeColor="accent5" w:themeTint="BF"/>
        <w:insideH w:val="single" w:sz="8" w:space="0" w:color="CE49BF" w:themeColor="accent5" w:themeTint="BF"/>
        <w:insideV w:val="single" w:sz="8" w:space="0" w:color="CE49BF" w:themeColor="accent5" w:themeTint="BF"/>
      </w:tblBorders>
    </w:tblPr>
    <w:tcPr>
      <w:shd w:val="clear" w:color="auto" w:fill="EFC3E9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E49B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shd w:val="clear" w:color="auto" w:fill="DE86D4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1CF50" w:themeColor="accent6" w:themeTint="BF"/>
        <w:left w:val="single" w:sz="8" w:space="0" w:color="71CF50" w:themeColor="accent6" w:themeTint="BF"/>
        <w:bottom w:val="single" w:sz="8" w:space="0" w:color="71CF50" w:themeColor="accent6" w:themeTint="BF"/>
        <w:right w:val="single" w:sz="8" w:space="0" w:color="71CF50" w:themeColor="accent6" w:themeTint="BF"/>
        <w:insideH w:val="single" w:sz="8" w:space="0" w:color="71CF50" w:themeColor="accent6" w:themeTint="BF"/>
        <w:insideV w:val="single" w:sz="8" w:space="0" w:color="71CF50" w:themeColor="accent6" w:themeTint="BF"/>
      </w:tblBorders>
    </w:tblPr>
    <w:tcPr>
      <w:shd w:val="clear" w:color="auto" w:fill="D0EFC5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1CF5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shd w:val="clear" w:color="auto" w:fill="A0DF8A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  <w:insideH w:val="single" w:sz="8" w:space="0" w:color="156082" w:themeColor="accent1"/>
        <w:insideV w:val="single" w:sz="8" w:space="0" w:color="156082" w:themeColor="accent1"/>
      </w:tblBorders>
    </w:tblPr>
    <w:tcPr>
      <w:shd w:val="clear" w:color="auto" w:fill="B2DEF2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0F2FA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E4F5" w:themeFill="accent1" w:themeFillTint="33"/>
      </w:tc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tcBorders>
          <w:insideH w:val="single" w:sz="6" w:space="0" w:color="156082" w:themeColor="accent1"/>
          <w:insideV w:val="single" w:sz="6" w:space="0" w:color="156082" w:themeColor="accent1"/>
        </w:tcBorders>
        <w:shd w:val="clear" w:color="auto" w:fill="64BDE6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  <w:insideH w:val="single" w:sz="8" w:space="0" w:color="E97132" w:themeColor="accent2"/>
        <w:insideV w:val="single" w:sz="8" w:space="0" w:color="E97132" w:themeColor="accent2"/>
      </w:tblBorders>
    </w:tblPr>
    <w:tcPr>
      <w:shd w:val="clear" w:color="auto" w:fill="F9DBCC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CF0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E2D5" w:themeFill="accent2" w:themeFillTint="33"/>
      </w:tc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tcBorders>
          <w:insideH w:val="single" w:sz="6" w:space="0" w:color="E97132" w:themeColor="accent2"/>
          <w:insideV w:val="single" w:sz="6" w:space="0" w:color="E97132" w:themeColor="accent2"/>
        </w:tcBorders>
        <w:shd w:val="clear" w:color="auto" w:fill="F4B7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  <w:insideH w:val="single" w:sz="8" w:space="0" w:color="196B24" w:themeColor="accent3"/>
        <w:insideV w:val="single" w:sz="8" w:space="0" w:color="196B24" w:themeColor="accent3"/>
      </w:tblBorders>
    </w:tblPr>
    <w:tcPr>
      <w:shd w:val="clear" w:color="auto" w:fill="B3EDBA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0F8E3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F0C7" w:themeFill="accent3" w:themeFillTint="33"/>
      </w:tc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tcBorders>
          <w:insideH w:val="single" w:sz="6" w:space="0" w:color="196B24" w:themeColor="accent3"/>
          <w:insideV w:val="single" w:sz="6" w:space="0" w:color="196B24" w:themeColor="accent3"/>
        </w:tcBorders>
        <w:shd w:val="clear" w:color="auto" w:fill="66DB75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  <w:insideH w:val="single" w:sz="8" w:space="0" w:color="0F9ED5" w:themeColor="accent4"/>
        <w:insideV w:val="single" w:sz="8" w:space="0" w:color="0F9ED5" w:themeColor="accent4"/>
      </w:tblBorders>
    </w:tblPr>
    <w:tcPr>
      <w:shd w:val="clear" w:color="auto" w:fill="BDE9FA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5F6FD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EDFB" w:themeFill="accent4" w:themeFillTint="33"/>
      </w:tc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tcBorders>
          <w:insideH w:val="single" w:sz="6" w:space="0" w:color="0F9ED5" w:themeColor="accent4"/>
          <w:insideV w:val="single" w:sz="6" w:space="0" w:color="0F9ED5" w:themeColor="accent4"/>
        </w:tcBorders>
        <w:shd w:val="clear" w:color="auto" w:fill="7BD3F5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  <w:insideH w:val="single" w:sz="8" w:space="0" w:color="A02B93" w:themeColor="accent5"/>
        <w:insideV w:val="single" w:sz="8" w:space="0" w:color="A02B93" w:themeColor="accent5"/>
      </w:tblBorders>
    </w:tblPr>
    <w:tcPr>
      <w:shd w:val="clear" w:color="auto" w:fill="EFC3E9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8E7F6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CEED" w:themeFill="accent5" w:themeFillTint="33"/>
      </w:tc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tcBorders>
          <w:insideH w:val="single" w:sz="6" w:space="0" w:color="A02B93" w:themeColor="accent5"/>
          <w:insideV w:val="single" w:sz="6" w:space="0" w:color="A02B93" w:themeColor="accent5"/>
        </w:tcBorders>
        <w:shd w:val="clear" w:color="auto" w:fill="DE86D4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  <w:insideH w:val="single" w:sz="8" w:space="0" w:color="4EA72E" w:themeColor="accent6"/>
        <w:insideV w:val="single" w:sz="8" w:space="0" w:color="4EA72E" w:themeColor="accent6"/>
      </w:tblBorders>
    </w:tblPr>
    <w:tcPr>
      <w:shd w:val="clear" w:color="auto" w:fill="D0EFC5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CF8E8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F2D0" w:themeFill="accent6" w:themeFillTint="33"/>
      </w:tc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tcBorders>
          <w:insideH w:val="single" w:sz="6" w:space="0" w:color="4EA72E" w:themeColor="accent6"/>
          <w:insideV w:val="single" w:sz="6" w:space="0" w:color="4EA72E" w:themeColor="accent6"/>
        </w:tcBorders>
        <w:shd w:val="clear" w:color="auto" w:fill="A0DF8A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2DEF2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56082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56082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56082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4BDE6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4BDE6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9DBCC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7132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7132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97132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4B7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4B798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EDBA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6B24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6B24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96B24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6DB75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6DB75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DE9FA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F9ED5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F9ED5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F9ED5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BD3F5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BD3F5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C3E9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2B93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2B93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2B93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E86D4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E86D4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EFC5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A72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A72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EA72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0DF8A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0DF8A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56082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A2F4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F476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97132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340D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4E1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96B24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C3511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24F1A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F9ED5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74E69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B769F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2B93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F1548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7206D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EA72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65317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A7C22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2FA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C394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C394D" w:themeColor="accent1" w:themeShade="99"/>
          <w:insideV w:val="nil"/>
        </w:tcBorders>
        <w:shd w:val="clear" w:color="auto" w:fill="0C394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394D" w:themeFill="accent1" w:themeFillShade="99"/>
      </w:tcPr>
    </w:tblStylePr>
    <w:tblStylePr w:type="band1Vert">
      <w:tblPr/>
      <w:tcPr>
        <w:shd w:val="clear" w:color="auto" w:fill="83CAEB" w:themeFill="accent1" w:themeFillTint="66"/>
      </w:tcPr>
    </w:tblStylePr>
    <w:tblStylePr w:type="band1Horz">
      <w:tblPr/>
      <w:tcPr>
        <w:shd w:val="clear" w:color="auto" w:fill="64BDE6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E97132" w:themeColor="accent2"/>
        <w:bottom w:val="single" w:sz="4" w:space="0" w:color="E97132" w:themeColor="accent2"/>
        <w:right w:val="single" w:sz="4" w:space="0" w:color="E97132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0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3F1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3F10" w:themeColor="accent2" w:themeShade="99"/>
          <w:insideV w:val="nil"/>
        </w:tcBorders>
        <w:shd w:val="clear" w:color="auto" w:fill="993F10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3F10" w:themeFill="accent2" w:themeFillShade="99"/>
      </w:tcPr>
    </w:tblStylePr>
    <w:tblStylePr w:type="band1Vert">
      <w:tblPr/>
      <w:tcPr>
        <w:shd w:val="clear" w:color="auto" w:fill="F6C5AC" w:themeFill="accent2" w:themeFillTint="66"/>
      </w:tcPr>
    </w:tblStylePr>
    <w:tblStylePr w:type="band1Horz">
      <w:tblPr/>
      <w:tcPr>
        <w:shd w:val="clear" w:color="auto" w:fill="F4B7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F9ED5" w:themeColor="accent4"/>
        <w:left w:val="single" w:sz="4" w:space="0" w:color="196B24" w:themeColor="accent3"/>
        <w:bottom w:val="single" w:sz="4" w:space="0" w:color="196B24" w:themeColor="accent3"/>
        <w:right w:val="single" w:sz="4" w:space="0" w:color="196B24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8E3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F9ED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4015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4015" w:themeColor="accent3" w:themeShade="99"/>
          <w:insideV w:val="nil"/>
        </w:tcBorders>
        <w:shd w:val="clear" w:color="auto" w:fill="0F4015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015" w:themeFill="accent3" w:themeFillShade="99"/>
      </w:tcPr>
    </w:tblStylePr>
    <w:tblStylePr w:type="band1Vert">
      <w:tblPr/>
      <w:tcPr>
        <w:shd w:val="clear" w:color="auto" w:fill="84E290" w:themeFill="accent3" w:themeFillTint="66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96B24" w:themeColor="accent3"/>
        <w:left w:val="single" w:sz="4" w:space="0" w:color="0F9ED5" w:themeColor="accent4"/>
        <w:bottom w:val="single" w:sz="4" w:space="0" w:color="0F9ED5" w:themeColor="accent4"/>
        <w:right w:val="single" w:sz="4" w:space="0" w:color="0F9ED5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F6FD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96B2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95E7F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95E7F" w:themeColor="accent4" w:themeShade="99"/>
          <w:insideV w:val="nil"/>
        </w:tcBorders>
        <w:shd w:val="clear" w:color="auto" w:fill="095E7F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5E7F" w:themeFill="accent4" w:themeFillShade="99"/>
      </w:tcPr>
    </w:tblStylePr>
    <w:tblStylePr w:type="band1Vert">
      <w:tblPr/>
      <w:tcPr>
        <w:shd w:val="clear" w:color="auto" w:fill="95DCF7" w:themeFill="accent4" w:themeFillTint="66"/>
      </w:tcPr>
    </w:tblStylePr>
    <w:tblStylePr w:type="band1Horz">
      <w:tblPr/>
      <w:tcPr>
        <w:shd w:val="clear" w:color="auto" w:fill="7BD3F5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EA72E" w:themeColor="accent6"/>
        <w:left w:val="single" w:sz="4" w:space="0" w:color="A02B93" w:themeColor="accent5"/>
        <w:bottom w:val="single" w:sz="4" w:space="0" w:color="A02B93" w:themeColor="accent5"/>
        <w:right w:val="single" w:sz="4" w:space="0" w:color="A02B93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7F6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EA72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F1957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F1957" w:themeColor="accent5" w:themeShade="99"/>
          <w:insideV w:val="nil"/>
        </w:tcBorders>
        <w:shd w:val="clear" w:color="auto" w:fill="5F1957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1957" w:themeFill="accent5" w:themeFillShade="99"/>
      </w:tcPr>
    </w:tblStylePr>
    <w:tblStylePr w:type="band1Vert">
      <w:tblPr/>
      <w:tcPr>
        <w:shd w:val="clear" w:color="auto" w:fill="E59EDC" w:themeFill="accent5" w:themeFillTint="66"/>
      </w:tcPr>
    </w:tblStylePr>
    <w:tblStylePr w:type="band1Horz">
      <w:tblPr/>
      <w:tcPr>
        <w:shd w:val="clear" w:color="auto" w:fill="DE86D4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2B93" w:themeColor="accent5"/>
        <w:left w:val="single" w:sz="4" w:space="0" w:color="4EA72E" w:themeColor="accent6"/>
        <w:bottom w:val="single" w:sz="4" w:space="0" w:color="4EA72E" w:themeColor="accent6"/>
        <w:right w:val="single" w:sz="4" w:space="0" w:color="4EA72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8E8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2B9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E641B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E641B" w:themeColor="accent6" w:themeShade="99"/>
          <w:insideV w:val="nil"/>
        </w:tcBorders>
        <w:shd w:val="clear" w:color="auto" w:fill="2E641B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641B" w:themeFill="accent6" w:themeFillShade="99"/>
      </w:tcPr>
    </w:tblStylePr>
    <w:tblStylePr w:type="band1Vert">
      <w:tblPr/>
      <w:tcPr>
        <w:shd w:val="clear" w:color="auto" w:fill="B3E5A1" w:themeFill="accent6" w:themeFillTint="66"/>
      </w:tcPr>
    </w:tblStylePr>
    <w:tblStylePr w:type="band1Horz">
      <w:tblPr/>
      <w:tcPr>
        <w:shd w:val="clear" w:color="auto" w:fill="A0DF8A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0F2FA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CF0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0F8E3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C7EAA" w:themeFill="accent4" w:themeFillShade="CC"/>
      </w:tcPr>
    </w:tblStylePr>
    <w:tblStylePr w:type="lastRow">
      <w:rPr>
        <w:b/>
        <w:bCs/>
        <w:color w:val="0C7EAA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5F6FD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4551C" w:themeFill="accent3" w:themeFillShade="CC"/>
      </w:tcPr>
    </w:tblStylePr>
    <w:tblStylePr w:type="lastRow">
      <w:rPr>
        <w:b/>
        <w:bCs/>
        <w:color w:val="14551C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7F6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E8524" w:themeFill="accent6" w:themeFillShade="CC"/>
      </w:tcPr>
    </w:tblStylePr>
    <w:tblStylePr w:type="lastRow">
      <w:rPr>
        <w:b/>
        <w:bCs/>
        <w:color w:val="3E8524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CF8E8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F2275" w:themeFill="accent5" w:themeFillShade="CC"/>
      </w:tcPr>
    </w:tblStylePr>
    <w:tblStylePr w:type="lastRow">
      <w:rPr>
        <w:b/>
        <w:bCs/>
        <w:color w:val="7F227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E4F5" w:themeFill="accent1" w:themeFillTint="33"/>
    </w:tcPr>
    <w:tblStylePr w:type="firstRow">
      <w:rPr>
        <w:b/>
        <w:bCs/>
      </w:rPr>
      <w:tblPr/>
      <w:tcPr>
        <w:shd w:val="clear" w:color="auto" w:fill="83CAEB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3CAEB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F476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F4761" w:themeFill="accent1" w:themeFillShade="BF"/>
      </w:tc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shd w:val="clear" w:color="auto" w:fill="64BDE6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AE2D5" w:themeFill="accent2" w:themeFillTint="33"/>
    </w:tcPr>
    <w:tblStylePr w:type="firstRow">
      <w:rPr>
        <w:b/>
        <w:bCs/>
      </w:rPr>
      <w:tblPr/>
      <w:tcPr>
        <w:shd w:val="clear" w:color="auto" w:fill="F6C5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6C5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BF4E1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BF4E14" w:themeFill="accent2" w:themeFillShade="BF"/>
      </w:tc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shd w:val="clear" w:color="auto" w:fill="F4B798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F0C7" w:themeFill="accent3" w:themeFillTint="33"/>
    </w:tcPr>
    <w:tblStylePr w:type="firstRow">
      <w:rPr>
        <w:b/>
        <w:bCs/>
      </w:rPr>
      <w:tblPr/>
      <w:tcPr>
        <w:shd w:val="clear" w:color="auto" w:fill="84E290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4E290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124F1A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124F1A" w:themeFill="accent3" w:themeFillShade="BF"/>
      </w:tc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AEDFB" w:themeFill="accent4" w:themeFillTint="33"/>
    </w:tcPr>
    <w:tblStylePr w:type="firstRow">
      <w:rPr>
        <w:b/>
        <w:bCs/>
      </w:rPr>
      <w:tblPr/>
      <w:tcPr>
        <w:shd w:val="clear" w:color="auto" w:fill="95DCF7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5DCF7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B769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B769F" w:themeFill="accent4" w:themeFillShade="BF"/>
      </w:tc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shd w:val="clear" w:color="auto" w:fill="7BD3F5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CEED" w:themeFill="accent5" w:themeFillTint="33"/>
    </w:tcPr>
    <w:tblStylePr w:type="firstRow">
      <w:rPr>
        <w:b/>
        <w:bCs/>
      </w:rPr>
      <w:tblPr/>
      <w:tcPr>
        <w:shd w:val="clear" w:color="auto" w:fill="E59EDC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9EDC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77206D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77206D" w:themeFill="accent5" w:themeFillShade="BF"/>
      </w:tc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shd w:val="clear" w:color="auto" w:fill="DE86D4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F2D0" w:themeFill="accent6" w:themeFillTint="33"/>
    </w:tcPr>
    <w:tblStylePr w:type="firstRow">
      <w:rPr>
        <w:b/>
        <w:bCs/>
      </w:rPr>
      <w:tblPr/>
      <w:tcPr>
        <w:shd w:val="clear" w:color="auto" w:fill="B3E5A1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3E5A1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3A7C22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3A7C22" w:themeFill="accent6" w:themeFillShade="BF"/>
      </w:tc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shd w:val="clear" w:color="auto" w:fill="A0DF8A" w:themeFill="accent6" w:themeFillTint="7F"/>
      </w:tcPr>
    </w:tblStylePr>
  </w:style>
  <w:style w:type="character" w:customStyle="1" w:styleId="NoSpacingChar">
    <w:name w:val="No Spacing Char"/>
    <w:basedOn w:val="DefaultParagraphFont"/>
    <w:link w:val="NoSpacing"/>
    <w:uiPriority w:val="1"/>
    <w:rsid w:val="00641096"/>
  </w:style>
  <w:style w:type="paragraph" w:customStyle="1" w:styleId="PersonalName">
    <w:name w:val="Personal Name"/>
    <w:basedOn w:val="Title"/>
    <w:rsid w:val="00641096"/>
    <w:rPr>
      <w:b/>
      <w:caps/>
      <w:color w:val="000000"/>
      <w:sz w:val="28"/>
      <w:szCs w:val="28"/>
    </w:rPr>
  </w:style>
  <w:style w:type="table" w:styleId="GridTable7ColourfulAccent6">
    <w:name w:val="Grid Table 7 Colorful Accent 6"/>
    <w:basedOn w:val="TableNormal"/>
    <w:uiPriority w:val="52"/>
    <w:rsid w:val="008F16EB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  <w:tblStylePr w:type="neCell">
      <w:tblPr/>
      <w:tcPr>
        <w:tcBorders>
          <w:bottom w:val="single" w:sz="4" w:space="0" w:color="8DD873" w:themeColor="accent6" w:themeTint="99"/>
        </w:tcBorders>
      </w:tcPr>
    </w:tblStylePr>
    <w:tblStylePr w:type="nwCell">
      <w:tblPr/>
      <w:tcPr>
        <w:tcBorders>
          <w:bottom w:val="single" w:sz="4" w:space="0" w:color="8DD873" w:themeColor="accent6" w:themeTint="99"/>
        </w:tcBorders>
      </w:tcPr>
    </w:tblStylePr>
    <w:tblStylePr w:type="seCell">
      <w:tblPr/>
      <w:tcPr>
        <w:tcBorders>
          <w:top w:val="single" w:sz="4" w:space="0" w:color="8DD873" w:themeColor="accent6" w:themeTint="99"/>
        </w:tcBorders>
      </w:tcPr>
    </w:tblStylePr>
    <w:tblStylePr w:type="swCell">
      <w:tblPr/>
      <w:tcPr>
        <w:tcBorders>
          <w:top w:val="single" w:sz="4" w:space="0" w:color="8DD873" w:themeColor="accent6" w:themeTint="99"/>
        </w:tcBorders>
      </w:tcPr>
    </w:tblStylePr>
  </w:style>
  <w:style w:type="table" w:styleId="GridTable1Light">
    <w:name w:val="Grid Table 1 Light"/>
    <w:basedOn w:val="TableNormal"/>
    <w:uiPriority w:val="99"/>
    <w:rsid w:val="008F16EB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stTable6Colourful">
    <w:name w:val="List Table 6 Colorful"/>
    <w:basedOn w:val="TableNormal"/>
    <w:uiPriority w:val="51"/>
    <w:rsid w:val="008F16E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PlainTable2">
    <w:name w:val="Plain Table 2"/>
    <w:basedOn w:val="TableNormal"/>
    <w:uiPriority w:val="99"/>
    <w:rsid w:val="008F16E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99"/>
    <w:rsid w:val="008F16E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1">
    <w:name w:val="Plain Table 1"/>
    <w:basedOn w:val="TableNormal"/>
    <w:uiPriority w:val="99"/>
    <w:rsid w:val="008F16EB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Noah">
    <w:name w:val="Noah"/>
    <w:basedOn w:val="TableNormal"/>
    <w:uiPriority w:val="99"/>
    <w:rsid w:val="008F16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color w:val="auto"/>
      </w:rPr>
      <w:tblPr/>
      <w:tcPr>
        <w:shd w:val="clear" w:color="auto" w:fill="E8E8E8" w:themeFill="background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Relationship Id="rId9" Type="http://schemas.openxmlformats.org/officeDocument/2006/relationships/hyperlink" Target="https://oilcity.news/community/events/2026/08/30/oil-city-news-presents-voices-w-mallory-pollock/" TargetMode="External"/><Relationship Id="rId10" Type="http://schemas.openxmlformats.org/officeDocument/2006/relationships/hyperlink" Target="https://www.visitcasper.com/events/funky-junk-fall-edition-2026/" TargetMode="External"/><Relationship Id="rId11" Type="http://schemas.openxmlformats.org/officeDocument/2006/relationships/hyperlink" Target="https://www.visitcasper.com/events/annual-events-festivals/casper-pride/" TargetMode="External"/><Relationship Id="rId12" Type="http://schemas.openxmlformats.org/officeDocument/2006/relationships/hyperlink" Target="https://www.fordwyomingcenter.com/events/detail/benson-boone" TargetMode="External"/><Relationship Id="rId13" Type="http://schemas.openxmlformats.org/officeDocument/2006/relationships/hyperlink" Target="https://www.fordwyomingcenter.com/" TargetMode="External"/></Relationships>
</file>

<file path=word/_rels/settings.xml.rels><?xml version='1.0' encoding='UTF-8' standalone='yes'?>
<Relationships xmlns="http://schemas.openxmlformats.org/package/2006/relationships"><Relationship Id="rId1" Type="http://schemas.openxmlformats.org/officeDocument/2006/relationships/attachedTemplate" Target="http://schemas.openxmlformats.org/officeDocument/2006/relationships/officeDocument" TargetMode="External"/></Relationships>
</file>

<file path=word/theme/theme1.xml><?xml version="1.0" encoding="utf-8"?>
<a:theme xmlns:a="http://schemas.openxmlformats.org/drawingml/2006/main" name="Crop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Crop">
      <a:majorFont>
        <a:latin typeface="Franklin Gothic Book" panose="020B0503020102020204"/>
        <a:ea typeface=""/>
        <a:cs typeface=""/>
      </a:majorFont>
      <a:minorFont>
        <a:latin typeface="Franklin Gothic Book" panose="020B0503020102020204"/>
        <a:ea typeface=""/>
        <a:cs typeface=""/>
      </a:minorFont>
    </a:fontScheme>
    <a:fmtScheme name="Crop">
      <a:fillStyleLst>
        <a:solidFill>
          <a:schemeClr val="phClr"/>
        </a:solidFill>
        <a:gradFill rotWithShape="1">
          <a:gsLst>
            <a:gs pos="0">
              <a:schemeClr val="phClr">
                <a:tint val="67000"/>
                <a:satMod val="105000"/>
                <a:lumMod val="110000"/>
              </a:schemeClr>
            </a:gs>
            <a:gs pos="50000">
              <a:schemeClr val="phClr">
                <a:tint val="73000"/>
                <a:satMod val="103000"/>
                <a:lumMod val="105000"/>
              </a:schemeClr>
            </a:gs>
            <a:gs pos="100000">
              <a:schemeClr val="phClr">
                <a:tint val="81000"/>
                <a:satMod val="109000"/>
                <a:lumMod val="105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4000"/>
                <a:satMod val="103000"/>
                <a:lumMod val="102000"/>
              </a:schemeClr>
            </a:gs>
            <a:gs pos="50000">
              <a:schemeClr val="phClr">
                <a:shade val="100000"/>
                <a:satMod val="110000"/>
                <a:lumMod val="100000"/>
              </a:schemeClr>
            </a:gs>
            <a:gs pos="100000">
              <a:schemeClr val="phClr">
                <a:shade val="78000"/>
                <a:satMod val="120000"/>
                <a:lumMod val="99000"/>
              </a:schemeClr>
            </a:gs>
          </a:gsLst>
          <a:lin ang="5400000" scaled="0"/>
        </a:gradFill>
      </a:fillStyleLst>
      <a:lnStyleLst>
        <a:ln w="6350" cap="flat" cmpd="sng" algn="in">
          <a:solidFill>
            <a:schemeClr val="phClr"/>
          </a:solidFill>
          <a:prstDash val="solid"/>
        </a:ln>
        <a:ln w="34925" cap="flat" cmpd="sng" algn="in">
          <a:solidFill>
            <a:schemeClr val="phClr"/>
          </a:solidFill>
          <a:prstDash val="solid"/>
        </a:ln>
        <a:ln w="19050" cap="flat" cmpd="sng" algn="in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hade val="98000"/>
                <a:satMod val="150000"/>
                <a:lumMod val="102000"/>
              </a:schemeClr>
            </a:gs>
            <a:gs pos="50000">
              <a:schemeClr val="phClr">
                <a:tint val="98000"/>
                <a:shade val="90000"/>
                <a:satMod val="13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Crop" id="{EC9488ED-E761-4D60-9AC4-764D1FE2C171}" vid="{CE19780C-D67D-4C13-9DE9-A52BC3BA51B4}"/>
    </a:ext>
  </a:extLst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template.dotx</Template>
  <TotalTime>1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Joao Soares</dc:creator>
  <cp:keywords/>
  <dc:description>generated by python-docx</dc:description>
  <cp:lastModifiedBy>Joao Soares</cp:lastModifiedBy>
  <cp:revision>2</cp:revision>
  <dcterms:created xsi:type="dcterms:W3CDTF">2025-04-30T15:43:00Z</dcterms:created>
  <dcterms:modified xsi:type="dcterms:W3CDTF">2025-04-30T15:43:00Z</dcterms:modified>
  <cp:category/>
</cp:coreProperties>
</file>