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Best Ways Sweden Is Protecting LGBTIQ Rights — and What Still Needs Doing</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Shoppers are noticing that legal progress and everyday safety don't always travel together , Sweden has taken concrete steps to protect LGBTIQ people, but many young people still don't feel safe living openly, and that gap matters for families, health and dignity.</w:t>
      </w:r>
      <w:r/>
    </w:p>
    <w:p>
      <w:r/>
      <w:r>
        <w:t>Essential Takeaways</w:t>
      </w:r>
      <w:r/>
      <w:r/>
    </w:p>
    <w:p>
      <w:pPr>
        <w:pStyle w:val="ListBullet"/>
        <w:spacing w:line="240" w:lineRule="auto"/>
        <w:ind w:left="720"/>
      </w:pPr>
      <w:r/>
      <w:r>
        <w:rPr>
          <w:b/>
        </w:rPr>
        <w:t>Legal progress:</w:t>
      </w:r>
      <w:r>
        <w:t xml:space="preserve"> Sweden has introduced laws and policies that make gender recognition easier, criminalise psychological abuse and equalise blood donation rules. </w:t>
      </w:r>
      <w:r/>
    </w:p>
    <w:p>
      <w:pPr>
        <w:pStyle w:val="ListBullet"/>
        <w:spacing w:line="240" w:lineRule="auto"/>
        <w:ind w:left="720"/>
      </w:pPr>
      <w:r/>
      <w:r>
        <w:rPr>
          <w:b/>
        </w:rPr>
        <w:t>Practical support:</w:t>
      </w:r>
      <w:r>
        <w:t xml:space="preserve"> The government funds IVF access and is planning broader measures to promote equal opportunities and safety. </w:t>
      </w:r>
      <w:r/>
    </w:p>
    <w:p>
      <w:pPr>
        <w:pStyle w:val="ListBullet"/>
        <w:spacing w:line="240" w:lineRule="auto"/>
        <w:ind w:left="720"/>
      </w:pPr>
      <w:r/>
      <w:r>
        <w:rPr>
          <w:b/>
        </w:rPr>
        <w:t>International contrast:</w:t>
      </w:r>
      <w:r>
        <w:t xml:space="preserve"> Same-sex marriage is recognised in just 39 countries, while child marriage persists in far more , a stark global disparity. </w:t>
      </w:r>
      <w:r/>
    </w:p>
    <w:p>
      <w:pPr>
        <w:pStyle w:val="ListBullet"/>
        <w:spacing w:line="240" w:lineRule="auto"/>
        <w:ind w:left="720"/>
      </w:pPr>
      <w:r/>
      <w:r>
        <w:rPr>
          <w:b/>
        </w:rPr>
        <w:t>Ongoing risks:</w:t>
      </w:r>
      <w:r>
        <w:t xml:space="preserve"> Hate crimes, honour-based oppression and fear among young LGBTIQ people show legal change hasn't erased social risk. </w:t>
      </w:r>
      <w:r/>
    </w:p>
    <w:p>
      <w:pPr>
        <w:pStyle w:val="ListBullet"/>
        <w:spacing w:line="240" w:lineRule="auto"/>
        <w:ind w:left="720"/>
      </w:pPr>
      <w:r/>
      <w:r>
        <w:rPr>
          <w:b/>
        </w:rPr>
        <w:t>Policy priorities:</w:t>
      </w:r>
      <w:r>
        <w:t xml:space="preserve"> Sweden aims to promote LGBTIQ rights abroad, expand family-formation options and back civil-society groups through aid and action plans.</w:t>
      </w:r>
      <w:r/>
      <w:r/>
    </w:p>
    <w:p>
      <w:pPr>
        <w:pStyle w:val="Heading2"/>
      </w:pPr>
      <w:r>
        <w:t>Why legal wins don’t always feel like freedom</w:t>
      </w:r>
      <w:r/>
    </w:p>
    <w:p>
      <w:r/>
      <w:r>
        <w:t>Sweden has grabbed headlines for progressive reforms, and there’s a real softness to the change , less bureaucratic friction, a calmer path to living as yourself. But many young people still say they wouldn’t dare be open about their sexuality or gender in everyday life, which shows how law and lived reality can run on different tracks. According to government releases, recent legal tweaks make it easier to have your legal gender recognised and treat psychological coercion as a crime, but people’s fears and experiences of exclusion don’t vanish overnight.</w:t>
      </w:r>
      <w:r/>
    </w:p>
    <w:p>
      <w:pPr>
        <w:pStyle w:val="Heading2"/>
      </w:pPr>
      <w:r>
        <w:t>Concrete reforms: what the state has actually done</w:t>
      </w:r>
      <w:r/>
    </w:p>
    <w:p>
      <w:r/>
      <w:r>
        <w:t>In recent years the government has passed measures that matter in daily life: rules on legal gender, a newly criminalised category for psychological violence, and updated blood-donation criteria so assessments happen on equal terms. Sweden has also widened access to IVF and is discussing altruistic surrogacy to make family-building more inclusive. These are not just symbolic gestures , they change how institutions treat people, from hospitals to courts , and that slowly reshapes normality.</w:t>
      </w:r>
      <w:r/>
    </w:p>
    <w:p>
      <w:pPr>
        <w:pStyle w:val="Heading2"/>
      </w:pPr>
      <w:r>
        <w:t>The international picture makes the stakes clearer</w:t>
      </w:r>
      <w:r/>
    </w:p>
    <w:p>
      <w:r/>
      <w:r>
        <w:t>It’s easy to forget the global contrast: same-sex marriage is legal in under 40 countries, while child marriage remains permitted in well over a hundred. That comparison jolts you , in some places it’s easier to legally marry off a child than to let two consenting adults marry who they love. Sweden is using foreign policy and aid to promote LGBTIQ rights abroad, supporting NGOs and human-rights defenders, because domestic freedoms feel fragile when the wider world still lags so far behind.</w:t>
      </w:r>
      <w:r/>
    </w:p>
    <w:p>
      <w:pPr>
        <w:pStyle w:val="Heading2"/>
      </w:pPr>
      <w:r>
        <w:t>Where society still needs to catch up</w:t>
      </w:r>
      <w:r/>
    </w:p>
    <w:p>
      <w:r/>
      <w:r>
        <w:t>Laws can change faster than attitudes. Hate crimes and honour-based control still occur, and many youngsters say fear shapes their choices , who they hold hands with, what they say at work or school. Government action plans and foreign-policy work aim to tackle this, but practical steps matter too: better school education, trained local police, and visible support networks all reduce isolation. If you’re a parent, teacher or employer, small gestures , normalising diverse families at events, using inclusive language, calling out slurs , help turn legal rights into everyday safety.</w:t>
      </w:r>
      <w:r/>
    </w:p>
    <w:p>
      <w:pPr>
        <w:pStyle w:val="Heading2"/>
      </w:pPr>
      <w:r>
        <w:t>Practical choices for families and allies</w:t>
      </w:r>
      <w:r/>
    </w:p>
    <w:p>
      <w:r/>
      <w:r>
        <w:t>If you care about making freedom real, there are concrete things to try. Support local LGBTIQ groups and charities, follow government consultations on family policy and surrogacy, and push for inclusive curricula in schools. Employers can adopt clear anti-hate policies and offer support routes for staff who face discrimination. And if you’re worried about a young person, simple practical steps , safe spaces, confidential counselling referrals, and informed guidance on legal rights , can be lifesaving.</w:t>
      </w:r>
      <w:r/>
    </w:p>
    <w:p>
      <w:r/>
      <w:r>
        <w:t>It’s a small change that can make every right feel less like a headline and more like something you can rely on every day.</w:t>
      </w:r>
      <w:r/>
    </w:p>
    <w:p>
      <w:pPr>
        <w:pStyle w:val="Heading3"/>
      </w:pPr>
      <w:r>
        <w:t>Source Reference Map</w:t>
      </w:r>
      <w:r/>
    </w:p>
    <w:p>
      <w:r/>
      <w:r>
        <w:rPr>
          <w:b/>
        </w:rPr>
        <w:t>Story idea inspired by:</w:t>
      </w:r>
      <w:r>
        <w:t xml:space="preserve"> </w:t>
      </w:r>
      <w:hyperlink r:id="rId9">
        <w:r>
          <w:rPr>
            <w:color w:val="0000EE"/>
            <w:u w:val="single"/>
          </w:rPr>
          <w:t>[1]</w:t>
        </w:r>
      </w:hyperlink>
      <w:r/>
    </w:p>
    <w:p>
      <w:r/>
      <w:r>
        <w:rPr>
          <w:b/>
        </w:rPr>
        <w:t>Sources by paragraph:</w:t>
      </w:r>
      <w:r>
        <w:t xml:space="preserve">- Paragraph 1: </w:t>
      </w:r>
      <w:hyperlink r:id="rId10">
        <w:r>
          <w:rPr>
            <w:color w:val="0000EE"/>
            <w:u w:val="single"/>
          </w:rPr>
          <w:t>[2]</w:t>
        </w:r>
      </w:hyperlink>
      <w:r>
        <w:t xml:space="preserve">, </w:t>
      </w:r>
      <w:hyperlink r:id="rId11">
        <w:r>
          <w:rPr>
            <w:color w:val="0000EE"/>
            <w:u w:val="single"/>
          </w:rPr>
          <w:t>[4]</w:t>
        </w:r>
      </w:hyperlink>
      <w:r>
        <w:t xml:space="preserve">- Paragraph 2: </w:t>
      </w:r>
      <w:hyperlink r:id="rId10">
        <w:r>
          <w:rPr>
            <w:color w:val="0000EE"/>
            <w:u w:val="single"/>
          </w:rPr>
          <w:t>[2]</w:t>
        </w:r>
      </w:hyperlink>
      <w:r>
        <w:t xml:space="preserve">, </w:t>
      </w:r>
      <w:hyperlink r:id="rId12">
        <w:r>
          <w:rPr>
            <w:color w:val="0000EE"/>
            <w:u w:val="single"/>
          </w:rPr>
          <w:t>[5]</w:t>
        </w:r>
      </w:hyperlink>
      <w:r>
        <w:t xml:space="preserve">- Paragraph 3: </w:t>
      </w:r>
      <w:hyperlink r:id="rId13">
        <w:r>
          <w:rPr>
            <w:color w:val="0000EE"/>
            <w:u w:val="single"/>
          </w:rPr>
          <w:t>[3]</w:t>
        </w:r>
      </w:hyperlink>
      <w:r>
        <w:t xml:space="preserve">, </w:t>
      </w:r>
      <w:hyperlink r:id="rId14">
        <w:r>
          <w:rPr>
            <w:color w:val="0000EE"/>
            <w:u w:val="single"/>
          </w:rPr>
          <w:t>[6]</w:t>
        </w:r>
      </w:hyperlink>
      <w:r>
        <w:t xml:space="preserve">- Paragraph 4: </w:t>
      </w:r>
      <w:hyperlink r:id="rId10">
        <w:r>
          <w:rPr>
            <w:color w:val="0000EE"/>
            <w:u w:val="single"/>
          </w:rPr>
          <w:t>[2]</w:t>
        </w:r>
      </w:hyperlink>
      <w:r>
        <w:t xml:space="preserve">, </w:t>
      </w:r>
      <w:hyperlink r:id="rId15">
        <w:r>
          <w:rPr>
            <w:color w:val="0000EE"/>
            <w:u w:val="single"/>
          </w:rPr>
          <w:t>[7]</w:t>
        </w:r>
      </w:hyperlink>
      <w:r>
        <w:t xml:space="preserve">- Paragraph 5: </w:t>
      </w:r>
      <w:hyperlink r:id="rId12">
        <w:r>
          <w:rPr>
            <w:color w:val="0000EE"/>
            <w:u w:val="single"/>
          </w:rPr>
          <w:t>[5]</w:t>
        </w:r>
      </w:hyperlink>
      <w:r>
        <w:t xml:space="preserve">, </w:t>
      </w:r>
      <w:hyperlink r:id="rId14">
        <w:r>
          <w:rPr>
            <w:color w:val="0000EE"/>
            <w:u w:val="single"/>
          </w:rPr>
          <w:t>[6]</w:t>
        </w:r>
      </w:hyperlink>
      <w:r/>
    </w:p>
    <w:p>
      <w:pPr>
        <w:pStyle w:val="Heading2"/>
      </w:pPr>
      <w:r>
        <w:t>Bibliography</w:t>
      </w:r>
      <w:r/>
      <w:r/>
    </w:p>
    <w:p>
      <w:pPr>
        <w:pStyle w:val="ListNumber"/>
        <w:numPr>
          <w:ilvl w:val="0"/>
          <w:numId w:val="14"/>
        </w:numPr>
        <w:spacing w:line="240" w:lineRule="auto"/>
        <w:ind w:left="720"/>
      </w:pPr>
      <w:r/>
      <w:hyperlink r:id="rId9">
        <w:r>
          <w:rPr>
            <w:color w:val="0000EE"/>
            <w:u w:val="single"/>
          </w:rPr>
          <w:t>https://www.nwt.se/asikter/debatt/ingen-ska-behova-valja-mellan-trygghet-och-att-vara-sig-sjalv/</w:t>
        </w:r>
      </w:hyperlink>
      <w:r>
        <w:t xml:space="preserve"> - Please view link - unable to able to access data</w:t>
      </w:r>
      <w:r/>
    </w:p>
    <w:p>
      <w:pPr>
        <w:pStyle w:val="ListNumber"/>
        <w:spacing w:line="240" w:lineRule="auto"/>
        <w:ind w:left="720"/>
      </w:pPr>
      <w:r/>
      <w:hyperlink r:id="rId10">
        <w:r>
          <w:rPr>
            <w:color w:val="0000EE"/>
            <w:u w:val="single"/>
          </w:rPr>
          <w:t>https://www.government.se/government-policy/democracy-and-human-rights/measures-to-promote-lbtiq-persons-rights-and-opportunities/</w:t>
        </w:r>
      </w:hyperlink>
      <w:r>
        <w:t xml:space="preserve"> - The Swedish government has implemented a strategy for equal rights and opportunities for LGBTIQ individuals, which was adopted in 2014. This strategy is further supported by the Government’s action plan for 2024–2027, aiming to strengthen LGBTIQ rights and opportunities through concrete measures. As of July 2026, 13 LGBTIQ-strategic government agencies have been appointed to promote equal rights and opportunities, regardless of sexual orientation, gender identity, or gender expression, in their activities.</w:t>
      </w:r>
      <w:r/>
    </w:p>
    <w:p>
      <w:pPr>
        <w:pStyle w:val="ListNumber"/>
        <w:spacing w:line="240" w:lineRule="auto"/>
        <w:ind w:left="720"/>
      </w:pPr>
      <w:r/>
      <w:hyperlink r:id="rId13">
        <w:r>
          <w:rPr>
            <w:color w:val="0000EE"/>
            <w:u w:val="single"/>
          </w:rPr>
          <w:t>https://www.government.se/government-policy/swedens-foreign-policy-work-for-human-rights-democracy-and-the-rule-of-law2/swedens-foreign-policy-work-for-lgbtiq-persons-enjoyment-of-human-rights/</w:t>
        </w:r>
      </w:hyperlink>
      <w:r>
        <w:t xml:space="preserve"> - Sweden prioritises the equal rights and opportunities of LGBTIQ individuals in its foreign policy. The government is one of the largest global donors supporting LGBTIQ human rights, providing assistance to civil society organisations and human rights defenders combating discrimination and violence. Sweden also raises LGBTIQ rights issues in bilateral dialogues and multilateral forums such as the UN, the Council of Europe, the OSCE, and the EU.</w:t>
      </w:r>
      <w:r/>
    </w:p>
    <w:p>
      <w:pPr>
        <w:pStyle w:val="ListNumber"/>
        <w:spacing w:line="240" w:lineRule="auto"/>
        <w:ind w:left="720"/>
      </w:pPr>
      <w:r/>
      <w:hyperlink r:id="rId11">
        <w:r>
          <w:rPr>
            <w:color w:val="0000EE"/>
            <w:u w:val="single"/>
          </w:rPr>
          <w:t>https://www.informationsverige.se/en/om-sverige/individens-rattigheter-och-skyldigheter/hbtqi-personers-rattigheter.html</w:t>
        </w:r>
      </w:hyperlink>
      <w:r>
        <w:t xml:space="preserve"> - In Sweden, individuals have the right to love and be with whomever they choose, regardless of gender. Same-sex marriage has been legal since 2009, and discrimination based on sexual orientation, gender identity, or gender expression is prohibited by law. Despite these protections, LGBTQI individuals may still face challenges such as bullying, threats, and violence, highlighting the ongoing need for advocacy and support.</w:t>
      </w:r>
      <w:r/>
    </w:p>
    <w:p>
      <w:pPr>
        <w:pStyle w:val="ListNumber"/>
        <w:spacing w:line="240" w:lineRule="auto"/>
        <w:ind w:left="720"/>
      </w:pPr>
      <w:r/>
      <w:hyperlink r:id="rId12">
        <w:r>
          <w:rPr>
            <w:color w:val="0000EE"/>
            <w:u w:val="single"/>
          </w:rPr>
          <w:t>https://www.government.se/press-releases/2025/01/proud-and-safe---a-new-action-plan-for-equal-rights-and-opportunities-for-lgbtiq-people/</w:t>
        </w:r>
      </w:hyperlink>
      <w:r>
        <w:t xml:space="preserve"> - The Swedish government has announced a new action plan titled 'Proud and Safe' to further strengthen efforts supporting the rights and opportunities of LGBTIQ individuals. This plan complements the existing strategy for equal rights and opportunities, focusing on areas such as violence, discrimination, health, working life, and the well-being of young and older LGBTIQ people. The action plan includes specific goals for each focus area, with concrete measures planned until 2027.</w:t>
      </w:r>
      <w:r/>
    </w:p>
    <w:p>
      <w:pPr>
        <w:pStyle w:val="ListNumber"/>
        <w:spacing w:line="240" w:lineRule="auto"/>
        <w:ind w:left="720"/>
      </w:pPr>
      <w:r/>
      <w:hyperlink r:id="rId14">
        <w:r>
          <w:rPr>
            <w:color w:val="0000EE"/>
            <w:u w:val="single"/>
          </w:rPr>
          <w:t>https://sida.se/en/about-sida/publications-archive/human-rights-for-lgbtqi-persons</w:t>
        </w:r>
      </w:hyperlink>
      <w:r>
        <w:t xml:space="preserve"> - Sweden is one of the largest global funders for the protection of LGBTIQ human rights. The Swedish International Development Cooperation Agency (Sida) is committed to strengthening LGBTIQ individuals' rights and opportunities, supporting civil society organisations and human rights defenders combating discrimination and violence, and promoting equal treatment and participation for LGBTIQ persons through various projects and collaborations.</w:t>
      </w:r>
      <w:r/>
    </w:p>
    <w:p>
      <w:pPr>
        <w:pStyle w:val="ListNumber"/>
        <w:spacing w:line="240" w:lineRule="auto"/>
        <w:ind w:left="720"/>
      </w:pPr>
      <w:r/>
      <w:hyperlink r:id="rId15">
        <w:r>
          <w:rPr>
            <w:color w:val="0000EE"/>
            <w:u w:val="single"/>
          </w:rPr>
          <w:t>https://www.migrationsverket.se/en/about-the-swedish-migration-agency/the-swedish-migration-agency-answers/2024/2024-06-17-this-is-how-it-works-when-we-process-cases-where-lgbtqi-is-grounds-for-protection.html</w:t>
        </w:r>
      </w:hyperlink>
      <w:r>
        <w:t xml:space="preserve"> - The Swedish Migration Agency considers an individual's sexual orientation, gender identity, or gender expression when assessing asylum cases. If an applicant has a well-founded fear of persecution due to these factors, they may be eligible for protection in Sweden. The agency conducts investigations where applicants can present their reasons for seeking protection based on their LGBTQI status.</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wt.se/asikter/debatt/ingen-ska-behova-valja-mellan-trygghet-och-att-vara-sig-sjalv/" TargetMode="External"/><Relationship Id="rId10" Type="http://schemas.openxmlformats.org/officeDocument/2006/relationships/hyperlink" Target="https://www.government.se/government-policy/democracy-and-human-rights/measures-to-promote-lbtiq-persons-rights-and-opportunities/" TargetMode="External"/><Relationship Id="rId11" Type="http://schemas.openxmlformats.org/officeDocument/2006/relationships/hyperlink" Target="https://www.informationsverige.se/en/om-sverige/individens-rattigheter-och-skyldigheter/hbtqi-personers-rattigheter.html" TargetMode="External"/><Relationship Id="rId12" Type="http://schemas.openxmlformats.org/officeDocument/2006/relationships/hyperlink" Target="https://www.government.se/press-releases/2025/01/proud-and-safe---a-new-action-plan-for-equal-rights-and-opportunities-for-lgbtiq-people/" TargetMode="External"/><Relationship Id="rId13" Type="http://schemas.openxmlformats.org/officeDocument/2006/relationships/hyperlink" Target="https://www.government.se/government-policy/swedens-foreign-policy-work-for-human-rights-democracy-and-the-rule-of-law2/swedens-foreign-policy-work-for-lgbtiq-persons-enjoyment-of-human-rights/" TargetMode="External"/><Relationship Id="rId14" Type="http://schemas.openxmlformats.org/officeDocument/2006/relationships/hyperlink" Target="https://sida.se/en/about-sida/publications-archive/human-rights-for-lgbtqi-persons" TargetMode="External"/><Relationship Id="rId15" Type="http://schemas.openxmlformats.org/officeDocument/2006/relationships/hyperlink" Target="https://www.migrationsverket.se/en/about-the-swedish-migration-agency/the-swedish-migration-agency-answers/2024/2024-06-17-this-is-how-it-works-when-we-process-cases-where-lgbtqi-is-grounds-for-protection.html"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