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Canada’s New 2SLGBTQI+ Funding Boosts Safer Tourism Destinations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travellers and tourism bosses are watching as Canada doubles down on inclusion , new federal funding aims to make Pride events and community supports safer, which matters for visitor confidence, small businesses and festivals across the country.</w:t>
      </w:r>
      <w:r/>
    </w:p>
    <w:p>
      <w:r/>
      <w:r>
        <w:t>Essential Takeaways</w:t>
      </w:r>
      <w:r/>
      <w:r/>
    </w:p>
    <w:p>
      <w:pPr>
        <w:pStyle w:val="ListBullet"/>
        <w:spacing w:line="240" w:lineRule="auto"/>
        <w:ind w:left="720"/>
      </w:pPr>
      <w:r/>
      <w:r>
        <w:rPr>
          <w:b/>
        </w:rPr>
        <w:t>Big boost:</w:t>
      </w:r>
      <w:r>
        <w:t xml:space="preserve"> Budget 2025 commits $54.6m over five years to the 2SLGBTQI+ community sector, with $10.9m ongoing support. </w:t>
      </w:r>
      <w:r/>
    </w:p>
    <w:p>
      <w:pPr>
        <w:pStyle w:val="ListBullet"/>
        <w:spacing w:line="240" w:lineRule="auto"/>
        <w:ind w:left="720"/>
      </w:pPr>
      <w:r/>
      <w:r>
        <w:rPr>
          <w:b/>
        </w:rPr>
        <w:t>Pride security ringfenced:</w:t>
      </w:r>
      <w:r>
        <w:t xml:space="preserve"> $7.5m over five years (and $1.5m ongoing) is earmarked specifically for Pride safety and event protection. </w:t>
      </w:r>
      <w:r/>
    </w:p>
    <w:p>
      <w:pPr>
        <w:pStyle w:val="ListBullet"/>
        <w:spacing w:line="240" w:lineRule="auto"/>
        <w:ind w:left="720"/>
      </w:pPr>
      <w:r/>
      <w:r>
        <w:rPr>
          <w:b/>
        </w:rPr>
        <w:t>Proven reach:</w:t>
      </w:r>
      <w:r>
        <w:t xml:space="preserve"> Since 2022, more than 240 projects supported, touching nearly 50,000 people and allies , local groups report practical results. </w:t>
      </w:r>
      <w:r/>
    </w:p>
    <w:p>
      <w:pPr>
        <w:pStyle w:val="ListBullet"/>
        <w:spacing w:line="240" w:lineRule="auto"/>
        <w:ind w:left="720"/>
      </w:pPr>
      <w:r/>
      <w:r>
        <w:rPr>
          <w:b/>
        </w:rPr>
        <w:t>Tourism link:</w:t>
      </w:r>
      <w:r>
        <w:t xml:space="preserve"> Safer, inclusive public spaces and events help hotels, restaurants and attractions welcome visitors and attract talent. </w:t>
      </w:r>
      <w:r/>
    </w:p>
    <w:p>
      <w:pPr>
        <w:pStyle w:val="ListBullet"/>
        <w:spacing w:line="240" w:lineRule="auto"/>
        <w:ind w:left="720"/>
      </w:pPr>
      <w:r/>
      <w:r>
        <w:rPr>
          <w:b/>
        </w:rPr>
        <w:t>Awareness push:</w:t>
      </w:r>
      <w:r>
        <w:t xml:space="preserve"> The Unity campaign adds education and stigma-busting messaging that shapes on-the-ground experiences for visitors.</w:t>
      </w:r>
      <w:r/>
      <w:r/>
    </w:p>
    <w:p>
      <w:pPr>
        <w:pStyle w:val="Heading2"/>
      </w:pPr>
      <w:r>
        <w:t>Why safety funding matters to travellers now</w:t>
      </w:r>
      <w:r/>
    </w:p>
    <w:p>
      <w:r/>
      <w:r>
        <w:t>Safety is always a top filter when people choose where to go, and a quiet, secure street or a smoothly run Pride parade can colour a whole trip. According to federal statements from Women and Gender Equality Canada, the latest funding explicitly links security with community resilience , and that’s good news for visitors who want to feel welcome, not on edge. For operators, it means fewer cancelled events, steadier staffing and a more predictable tourist season.</w:t>
      </w:r>
      <w:r/>
    </w:p>
    <w:p>
      <w:pPr>
        <w:pStyle w:val="Heading2"/>
      </w:pPr>
      <w:r>
        <w:t>Community projects have already changed the picture</w:t>
      </w:r>
      <w:r/>
    </w:p>
    <w:p>
      <w:r/>
      <w:r>
        <w:t>Federal programmes have supported more than 240 grassroots projects since 2022, reaching nearly 50,000 people and allies. Those initiatives range from peer-support networks to local awareness workshops, and they often create the softer infrastructure that travellers notice first: friendly faces, visible signage, and events that run without incident. If you’ve ever stayed somewhere because the local Pride felt authentic and safe, that’s the payoff of this investment.</w:t>
      </w:r>
      <w:r/>
    </w:p>
    <w:p>
      <w:pPr>
        <w:pStyle w:val="Heading2"/>
      </w:pPr>
      <w:r>
        <w:t>Pride security: practical money for practical problems</w:t>
      </w:r>
      <w:r/>
    </w:p>
    <w:p>
      <w:r/>
      <w:r>
        <w:t>The decision to set aside funds specifically for Pride security , part of the $54.6m package , recognises that parades and festivals aren’t just parties; they’re complex logistics involving marshals, first aid, accessible routes and liaison with police. Tourism bodies know that a well-protected Pride can boost hotel bookings, restaurant trade and retail footfall. If you’re an event organiser, think in advance about applying for grants and working with local tourism offices to stretch this funding further.</w:t>
      </w:r>
      <w:r/>
    </w:p>
    <w:p>
      <w:pPr>
        <w:pStyle w:val="Heading2"/>
      </w:pPr>
      <w:r>
        <w:t>What this means for local businesses and destination reputations</w:t>
      </w:r>
      <w:r/>
    </w:p>
    <w:p>
      <w:r/>
      <w:r>
        <w:t>Destination marketing is increasingly about lived experience, not just glossy images. Minister Rechie Valdez has framed safety as essential for people to work, build businesses and participate in community life, which is the same language tourism ministers use when courting events or long-stay visitors. Small hotels, cafés and tour operators benefit when communities are inclusive: it helps recruitment, reduces conflict and encourages repeat visits from LGBTQ+ travellers who value welcome and predictability.</w:t>
      </w:r>
      <w:r/>
    </w:p>
    <w:p>
      <w:pPr>
        <w:pStyle w:val="Heading2"/>
      </w:pPr>
      <w:r>
        <w:t>Unity campaign and the longer game for confidence</w:t>
      </w:r>
      <w:r/>
    </w:p>
    <w:p>
      <w:r/>
      <w:r>
        <w:t>Alongside cash, the federal Unity awareness campaign aims to tackle stigma and disinformation , the quieter hazards that still push people away. Public-awareness work changes everyday interactions that tourists have with residents and staff, from check-in desks to museum front-of-house. For those planning trips, it’s a reminder to check local Pride calendars and community initiatives: places investing in awareness tend to offer a calmer, more open visitor experience.</w:t>
      </w:r>
      <w:r/>
    </w:p>
    <w:p>
      <w:pPr>
        <w:pStyle w:val="Heading2"/>
      </w:pPr>
      <w:r>
        <w:t>How to read the outlook for Canadian tourism</w:t>
      </w:r>
      <w:r/>
    </w:p>
    <w:p>
      <w:r/>
      <w:r>
        <w:t>This funding round signals a shift from occasional messaging to sustained support. That matters for destination competitiveness: places that combine promotion with real community investment will likely outcompete those that don’t. For travellers, the practical advice is simple , look beyond attractions to the social environment, check Pride and community schedules, and favour businesses that show clear inclusion policies.</w:t>
      </w:r>
      <w:r/>
    </w:p>
    <w:p>
      <w:r/>
      <w:r>
        <w:t>It's a small policy shift with a straightforward aim: make Canada’s communities safer and its destinations more welcoming.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[5]</w:t>
        </w:r>
      </w:hyperlink>
      <w:r>
        <w:t xml:space="preserve">- Paragraph 2: </w:t>
      </w:r>
      <w:hyperlink r:id="rId11">
        <w:r>
          <w:rPr>
            <w:color w:val="0000EE"/>
            <w:u w:val="single"/>
          </w:rPr>
          <w:t>[5]</w:t>
        </w:r>
      </w:hyperlink>
      <w:r>
        <w:t xml:space="preserve">, </w:t>
      </w:r>
      <w:hyperlink r:id="rId12">
        <w:r>
          <w:rPr>
            <w:color w:val="0000EE"/>
            <w:u w:val="single"/>
          </w:rPr>
          <w:t>[3]</w:t>
        </w:r>
      </w:hyperlink>
      <w:r>
        <w:t xml:space="preserve">- Paragraph 3: </w:t>
      </w:r>
      <w:hyperlink r:id="rId13">
        <w:r>
          <w:rPr>
            <w:color w:val="0000EE"/>
            <w:u w:val="single"/>
          </w:rPr>
          <w:t>[4]</w:t>
        </w:r>
      </w:hyperlink>
      <w:r>
        <w:t xml:space="preserve">, </w:t>
      </w:r>
      <w:hyperlink r:id="rId11">
        <w:r>
          <w:rPr>
            <w:color w:val="0000EE"/>
            <w:u w:val="single"/>
          </w:rPr>
          <w:t>[5]</w:t>
        </w:r>
      </w:hyperlink>
      <w:r>
        <w:t xml:space="preserve">- Paragraph 4: </w:t>
      </w:r>
      <w:hyperlink r:id="rId10">
        <w:r>
          <w:rPr>
            <w:color w:val="0000EE"/>
            <w:u w:val="single"/>
          </w:rPr>
          <w:t>[2]</w:t>
        </w:r>
      </w:hyperlink>
      <w:r>
        <w:t xml:space="preserve">, </w:t>
      </w:r>
      <w:hyperlink r:id="rId11">
        <w:r>
          <w:rPr>
            <w:color w:val="0000EE"/>
            <w:u w:val="single"/>
          </w:rPr>
          <w:t>[5]</w:t>
        </w:r>
      </w:hyperlink>
      <w:r>
        <w:t xml:space="preserve">- Paragraph 5: </w:t>
      </w:r>
      <w:hyperlink r:id="rId10">
        <w:r>
          <w:rPr>
            <w:color w:val="0000EE"/>
            <w:u w:val="single"/>
          </w:rPr>
          <w:t>[2]</w:t>
        </w:r>
      </w:hyperlink>
      <w:r>
        <w:t xml:space="preserve">, </w:t>
      </w:r>
      <w:hyperlink r:id="rId14">
        <w:r>
          <w:rPr>
            <w:color w:val="0000EE"/>
            <w:u w:val="single"/>
          </w:rPr>
          <w:t>[6]</w:t>
        </w:r>
      </w:hyperlink>
      <w:r>
        <w:t xml:space="preserve">- Paragraph 6: </w:t>
      </w:r>
      <w:hyperlink r:id="rId11">
        <w:r>
          <w:rPr>
            <w:color w:val="0000EE"/>
            <w:u w:val="single"/>
          </w:rPr>
          <w:t>[5]</w:t>
        </w:r>
      </w:hyperlink>
      <w:r>
        <w:t xml:space="preserve">, </w:t>
      </w:r>
      <w:hyperlink r:id="rId12">
        <w:r>
          <w:rPr>
            <w:color w:val="0000EE"/>
            <w:u w:val="single"/>
          </w:rPr>
          <w:t>[3]</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https://www.travelandtourworld.com/news/article/jumzy3542own/</w:t>
        </w:r>
      </w:hyperlink>
      <w:r>
        <w:t xml:space="preserve"> - Please view link - unable to able to access data</w:t>
      </w:r>
      <w:r/>
    </w:p>
    <w:p>
      <w:pPr>
        <w:pStyle w:val="ListNumber"/>
        <w:spacing w:line="240" w:lineRule="auto"/>
        <w:ind w:left="720"/>
      </w:pPr>
      <w:r/>
      <w:hyperlink r:id="rId10">
        <w:r>
          <w:rPr>
            <w:color w:val="0000EE"/>
            <w:u w:val="single"/>
          </w:rPr>
          <w:t>https://www.canada.ca/en/women-gender-equality/news/2026/08/statement-to-mark-the-fourth-anniversary-of-the-federal-2slgbtqi-action-plan.html</w:t>
        </w:r>
      </w:hyperlink>
      <w:r>
        <w:t xml:space="preserve"> - On August 28, 2026, the Honourable Rechie Valdez, Minister of Women and Gender Equality and Secretary of State (Small Business and Tourism), marked the fourth anniversary of Canada's Federal 2SLGBTQI+ Action Plan. The plan aims to reduce barriers faced by 2SLGBTQI+ communities and create a safer, more inclusive country. Despite progress, 2SLGBTQI+ individuals continue to face hate, discrimination, and disinformation. Since 2022, Women and Gender Equality Canada has supported over 240 projects, reaching nearly 50,000 2SLGBTQI+ people and allies across the country. The Unity awareness campaign encourages Canadians to actively address stigma against 2SLGBTQI+ communities through education, reflection, and action. In Budget 2025, the federal government committed $54.6 million over five years, with $10.9 million ongoing, to support the 2SLGBTQI+ community sector, including $7.5 million over five years, with $1.5 million ongoing, for Pride Security. This funding ensures community organizations have the tools they need to do their work and that Pride celebrations can remain safe, welcoming, and accessible. The government emphasizes that continued support for 2SLGBTQI+ communities will be guided by the lived experiences of the people closest to this work, highlighting the importance of community-led initiatives in promoting safety, inclusion, and equal opportunities for 2SLGBTQI+ individuals in Canadian society and the economy.</w:t>
      </w:r>
      <w:r/>
    </w:p>
    <w:p>
      <w:pPr>
        <w:pStyle w:val="ListNumber"/>
        <w:spacing w:line="240" w:lineRule="auto"/>
        <w:ind w:left="720"/>
      </w:pPr>
      <w:r/>
      <w:hyperlink r:id="rId12">
        <w:r>
          <w:rPr>
            <w:color w:val="0000EE"/>
            <w:u w:val="single"/>
          </w:rPr>
          <w:t>https://www.canada.ca/en/women-gender-equality/funding/2slgbtqi-plus/2slgbtqi-plus-community-capacity-fund.html</w:t>
        </w:r>
      </w:hyperlink>
      <w:r>
        <w:t xml:space="preserve"> - The 2SLGBTQI+ Community Capacity Fund aims to build the capacity of 2SLGBTQI+ community organizations and networks to protect rights and advance equality across Canada. This funding supports organizations’ activities that increase their capacity to reach their goals, including establishing formal networks, becoming legally constituted, developing strategic and financial plans, improving knowledge about the needs of 2SLGBTQI+ communities, and enhancing technical skills to effectively run their organizations. The Federal 2SLGBTQI+ Action Plan allocated up to $40 million over five years (2022–2027) to build the capacity of 2SLGBTQI+ community organizations and networks to advance equality. Results include 110 projects funded through the 2SLGBTQI+ Community Capacity Fund to help build up the efficiency of 2SLGBTQI+ organizations to better meet the needs of the people they serve. More than 300 tools and resources were developed, helping organizations create strategic and financial plans, enhance technical skills to become more efficient, and improve knowledge about the needs of 2SLGBTQI+ communities. Projects have reached more than 10,000 2SLGBTQI+ people across Canada who have benefitted from the programs, services, and resources that these organizations provide. More than 300 partnerships within and between sectors were established or strengthened to improve the capacity of organizations that work to protect the rights of 2SLGBTQI+ people in Canada.</w:t>
      </w:r>
      <w:r/>
    </w:p>
    <w:p>
      <w:pPr>
        <w:pStyle w:val="ListNumber"/>
        <w:spacing w:line="240" w:lineRule="auto"/>
        <w:ind w:left="720"/>
      </w:pPr>
      <w:r/>
      <w:hyperlink r:id="rId13">
        <w:r>
          <w:rPr>
            <w:color w:val="0000EE"/>
            <w:u w:val="single"/>
          </w:rPr>
          <w:t>https://www.canada.ca/en/women-gender-equality/funding/2slgbtqi-plus/2slgbtqi-plus-projects-fund.html</w:t>
        </w:r>
      </w:hyperlink>
      <w:r>
        <w:t xml:space="preserve"> - The 2SLGBTQI+ Projects Fund advances the equality of 2SLGBTQI+ communities by supporting community-informed projects that address the needs and inequities faced by these communities. Activities include changing laws, policies, or practices, working with service providers, addressing hate toward 2SLGBTQI+ people, and engaging the community to address their main issues. The Federal 2SLGBTQI+ Action Plan allocated up to $35 million over five years (2022–2027) to support a range of projects that are addressing discriminatory policies and practices, enhancing support for 2SLGBTQI+ communities, and challenging harmful norms and attitudes. Results include more than 130 community-informed projects funded through the 2SLGBTQI+ Project Fund that continue to address the needs and inequities faced by 2SLGBTQI+ people. More than 1,000 tools and resources were developed, improving access to inclusive services and care, and increasing leadership opportunities for 2SLGBTQI+ individuals across the country. Projects have reached more than 39,000 2SLGBTQI+ people and allies across Canada, advancing equality and addressing barriers for these communities. More than 1,200 partnerships, within and between sectors, were established or strengthened to address discriminatory policies and practices, enhance support for 2SLGBTQI+ communities, and challenge harmful norms and attitudes.</w:t>
      </w:r>
      <w:r/>
    </w:p>
    <w:p>
      <w:pPr>
        <w:pStyle w:val="ListNumber"/>
        <w:spacing w:line="240" w:lineRule="auto"/>
        <w:ind w:left="720"/>
      </w:pPr>
      <w:r/>
      <w:hyperlink r:id="rId11">
        <w:r>
          <w:rPr>
            <w:color w:val="0000EE"/>
            <w:u w:val="single"/>
          </w:rPr>
          <w:t>https://www.canada.ca/en/women-gender-equality/free-to-be-me/federal-2slgbtqi-plus-action-plan/progress/government-investments.html</w:t>
        </w:r>
      </w:hyperlink>
      <w:r>
        <w:t xml:space="preserve"> - Since 2016, the Government of Canada has committed over $250 million to advance rights and equality for 2SLGBTQI+ communities. This investment has spanned many federal initiatives from departments and agencies. The 2SLGBTQI+ Secretariat, created in 2017, provides the federal government pathways to right historical and ongoing wrongs against 2SLGBTQI+ people. The Secretariat works with stakeholders across the country to inform the Government on priorities for 2SLGBTQI+ people in Canada and around the world. The Secretariat works across the federal government to help weave 2SLGBTQI+ matters into the Government of Canada’s everyday work. Funding includes $3.6 million over three years, starting in 2017–18, through Budget 2017; $1.2 million over one year through Budget 2019; and $7.1 million over three years to continue supporting the 2SLGBTQI+ Secretariat’s work, and to continue developing a 2SLGBTQI+ action plan, through Budget 2021.</w:t>
      </w:r>
      <w:r/>
    </w:p>
    <w:p>
      <w:pPr>
        <w:pStyle w:val="ListNumber"/>
        <w:spacing w:line="240" w:lineRule="auto"/>
        <w:ind w:left="720"/>
      </w:pPr>
      <w:r/>
      <w:hyperlink r:id="rId14">
        <w:r>
          <w:rPr>
            <w:color w:val="0000EE"/>
            <w:u w:val="single"/>
          </w:rPr>
          <w:t>https://www.canada.ca/en/women-gender-equality/news/2026/02/the-federal-government-supports-sudbury-queers-united-around-diversity-to-advance-equality.html</w:t>
        </w:r>
      </w:hyperlink>
      <w:r>
        <w:t xml:space="preserve"> - On February 18, 2026, Viviane Lapointe, Member of Parliament for Sudbury, on behalf of the Honourable Rechie Valdez, Minister of Women and Gender Equality and Secretary of State (Small Business and Tourism), announced $264,433 for Sudbury Queers United Around Diversity (SQUAD) to promote community safety, equality, and well-being across Greater Sudbury. Through the Safer Community Development for 2SLGBTQI+ project, SQUAD will work with community members to reduce barriers to equality and safety, increasing the full participation of 2SLGBTQI+ people – including from Indigenous, racialized, and traditionally marginalized groups – in community life. Better inclusion and connection will make Greater Sudbury more welcoming for everyone. SQUAD will bring people together through focus groups and workshops, including Indigenous-led teachings. It will also grow its capacity by adding</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ravelandtourworld.com/news/article/jumzy3542own/" TargetMode="External"/><Relationship Id="rId10" Type="http://schemas.openxmlformats.org/officeDocument/2006/relationships/hyperlink" Target="https://www.canada.ca/en/women-gender-equality/news/2026/08/statement-to-mark-the-fourth-anniversary-of-the-federal-2slgbtqi-action-plan.html" TargetMode="External"/><Relationship Id="rId11" Type="http://schemas.openxmlformats.org/officeDocument/2006/relationships/hyperlink" Target="https://www.canada.ca/en/women-gender-equality/free-to-be-me/federal-2slgbtqi-plus-action-plan/progress/government-investments.html" TargetMode="External"/><Relationship Id="rId12" Type="http://schemas.openxmlformats.org/officeDocument/2006/relationships/hyperlink" Target="https://www.canada.ca/en/women-gender-equality/funding/2slgbtqi-plus/2slgbtqi-plus-community-capacity-fund.html" TargetMode="External"/><Relationship Id="rId13" Type="http://schemas.openxmlformats.org/officeDocument/2006/relationships/hyperlink" Target="https://www.canada.ca/en/women-gender-equality/funding/2slgbtqi-plus/2slgbtqi-plus-projects-fund.html" TargetMode="External"/><Relationship Id="rId14" Type="http://schemas.openxmlformats.org/officeDocument/2006/relationships/hyperlink" Target="https://www.canada.ca/en/women-gender-equality/news/2026/02/the-federal-government-supports-sudbury-queers-united-around-diversity-to-advance-equality.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