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LGBTQ Homeownership Trends and Tips for San Francisco Buyers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returning to San Francisco’s housing market, and LGBTQ buyers are weighing where to plant roots amid high prices, neighbourhood quirks and a still-tight supply , here’s what’s changing, why it matters, and how to make a smarter move.</w:t>
      </w:r>
      <w:r/>
    </w:p>
    <w:p>
      <w:r/>
      <w:r>
        <w:t>Essential Takeaways</w:t>
      </w:r>
      <w:r/>
      <w:r/>
    </w:p>
    <w:p>
      <w:pPr>
        <w:pStyle w:val="ListBullet"/>
        <w:spacing w:line="240" w:lineRule="auto"/>
        <w:ind w:left="720"/>
      </w:pPr>
      <w:r/>
      <w:r>
        <w:rPr>
          <w:b/>
        </w:rPr>
        <w:t>Market rebound:</w:t>
      </w:r>
      <w:r>
        <w:t xml:space="preserve"> San Francisco prices rose recently, with median sales around $1.85m, making timing and product choice crucial.</w:t>
      </w:r>
      <w:r/>
    </w:p>
    <w:p>
      <w:pPr>
        <w:pStyle w:val="ListBullet"/>
        <w:spacing w:line="240" w:lineRule="auto"/>
        <w:ind w:left="720"/>
      </w:pPr>
      <w:r/>
      <w:r>
        <w:rPr>
          <w:b/>
        </w:rPr>
        <w:t>Homeownership gap:</w:t>
      </w:r>
      <w:r>
        <w:t xml:space="preserve"> Nationally, LGBTQ homeownership lags peers , roughly half own versus about 70% of straight, cisgender households.</w:t>
      </w:r>
      <w:r/>
    </w:p>
    <w:p>
      <w:pPr>
        <w:pStyle w:val="ListBullet"/>
        <w:spacing w:line="240" w:lineRule="auto"/>
        <w:ind w:left="720"/>
      </w:pPr>
      <w:r/>
      <w:r>
        <w:rPr>
          <w:b/>
        </w:rPr>
        <w:t>Condo opportunity:</w:t>
      </w:r>
      <w:r>
        <w:t xml:space="preserve"> Condos are more plentiful and often better value now; they’re sensible entry points for first-time buyers.</w:t>
      </w:r>
      <w:r/>
    </w:p>
    <w:p>
      <w:pPr>
        <w:pStyle w:val="ListBullet"/>
        <w:spacing w:line="240" w:lineRule="auto"/>
        <w:ind w:left="720"/>
      </w:pPr>
      <w:r/>
      <w:r>
        <w:rPr>
          <w:b/>
        </w:rPr>
        <w:t>Local trade-offs:</w:t>
      </w:r>
      <w:r>
        <w:t xml:space="preserve"> Neighbourhood choice balances affordability, transit access and street-level disorder , Diamond Heights offers a quieter, hilltop option.</w:t>
      </w:r>
      <w:r/>
    </w:p>
    <w:p>
      <w:pPr>
        <w:pStyle w:val="ListBullet"/>
        <w:spacing w:line="240" w:lineRule="auto"/>
        <w:ind w:left="720"/>
      </w:pPr>
      <w:r/>
      <w:r>
        <w:rPr>
          <w:b/>
        </w:rPr>
        <w:t>Barriers persist:</w:t>
      </w:r>
      <w:r>
        <w:t xml:space="preserve"> LGBTQ buyers report greater concerns about mortgages, closing costs, credit and income than non-LGBTQ buyers.</w:t>
      </w:r>
      <w:r/>
      <w:r/>
    </w:p>
    <w:p>
      <w:r/>
      <w:r>
        <w:t>Why LGBTQ buyers are coming back to the Bay , and where they’re landing</w:t>
      </w:r>
      <w:r/>
    </w:p>
    <w:p>
      <w:r/>
      <w:r>
        <w:t>San Francisco’s job market and social life are pulling people back in, and that’s true for many LGBTQ households who value community, culture and work opportunities. The AI boom and post-pandemic recovery have nudged prices up, but they’ve also opened inventory in certain building types. Buyers like Rick Page and Anthony Farace pick Diamond Heights for its suburban calm, sunny patios and a sense of safety , tiny sensory details that matter when you’re deciding where to call home.</w:t>
      </w:r>
      <w:r/>
    </w:p>
    <w:p>
      <w:r/>
      <w:r>
        <w:t>Realtors in the city say the old map of LGBTQ enclaves is blurred. The Castro remains iconic, but buyers also look to Noe Valley, Diamond Heights and other transit-friendly spots. If you need proximity to queer nightlife or services, weigh the short walk to the Castro against quieter nearby hills that feel less congested and might be a better long-term fit.</w:t>
      </w:r>
      <w:r/>
    </w:p>
    <w:p>
      <w:r/>
      <w:r>
        <w:t>National context: the ownership gap and what the data shows</w:t>
      </w:r>
      <w:r/>
    </w:p>
    <w:p>
      <w:r/>
      <w:r>
        <w:t>Federal research and independent studies have repeatedly found a notable homeownership gap. Surveys suggest roughly half of LGBTQ respondents own homes, versus around 70% for straight, cisgender people, and many LGBTQ consumers say they encounter steeper hurdles when trying to secure mortgages. According to Fannie Mae and Urban Institute analyses, concerns about closing costs, credit history and monthly affordability are more common among LGBTQ households , so the aspiration to buy is high, but friction remains.</w:t>
      </w:r>
      <w:r/>
    </w:p>
    <w:p>
      <w:r/>
      <w:r>
        <w:t>That tension has policy and market implications. If you’re an LGBTQ buyer, know that your experience mirrors a larger pattern: desire to own is strong, but success often depends on access to supportive lending, clear credit steps and housing products that fit your budget.</w:t>
      </w:r>
      <w:r/>
    </w:p>
    <w:p>
      <w:r/>
      <w:r>
        <w:t>Why condos might be the smartest play right now</w:t>
      </w:r>
      <w:r/>
    </w:p>
    <w:p>
      <w:r/>
      <w:r>
        <w:t>With condo inventory up and prices having softened from earlier peaks, many agents advise considering condominium units as an entry strategy. Condos can cost less than single-family homes, they’re often easier to maintain, and when interest rates ease, they historically appreciate quickly. If you’re eyeing the Castro or nearby neighbourhoods where single-family prices have been pushed higher by tech-income buyers, a well-located condo can get you into the market sooner.</w:t>
      </w:r>
      <w:r/>
    </w:p>
    <w:p>
      <w:r/>
      <w:r>
        <w:t>Practical tips: size, dues and lifestyle fit</w:t>
      </w:r>
      <w:r/>
    </w:p>
    <w:p>
      <w:r/>
      <w:r>
        <w:t>Decide what you can live with: some LGBTQ buyers trade space for location, buying studios or one-bedrooms near community hubs, while others prioritise patios and dog-friendly outdoor space, as Page and Farace did. Factor in service charges and insurance , costs that can erode monthly affordability , especially in areas with rising wildfire or coastal-insurance concerns. If you work on the Peninsula or commute to the airport, prioritise transit links like bus routes, ferries or quick access to 280 when choosing a neighbourhood.</w:t>
      </w:r>
      <w:r/>
    </w:p>
    <w:p>
      <w:r/>
      <w:r>
        <w:t>How community change and policy shape choice</w:t>
      </w:r>
      <w:r/>
    </w:p>
    <w:p>
      <w:r/>
      <w:r>
        <w:t>Marriage equality, shifting tax rules and decades of social change have influenced buying patterns. After marriage became legal, more couples benefitted from tax incentives that made dual-income purchases easier. Still, local shifts , from rising rents, tech-driven competition and changes in street-level conditions , influence whether people buy and where. In some neighbourhoods, tolerance and access draw a mix of residents that can include people experiencing homelessness, and that visible diversity affects perceptions about safety and desirability.</w:t>
      </w:r>
      <w:r/>
    </w:p>
    <w:p>
      <w:r/>
      <w:r>
        <w:t>Advice for first-time LGBTQ buyers: practical steps</w:t>
      </w:r>
      <w:r/>
      <w:r/>
    </w:p>
    <w:p>
      <w:pPr>
        <w:pStyle w:val="ListBullet"/>
        <w:spacing w:line="240" w:lineRule="auto"/>
        <w:ind w:left="720"/>
      </w:pPr>
      <w:r/>
      <w:r>
        <w:t>Get a clear pre-approval and ask lenders about LGBTQ-friendly programmes or community referrals.</w:t>
      </w:r>
      <w:r/>
    </w:p>
    <w:p>
      <w:pPr>
        <w:pStyle w:val="ListBullet"/>
        <w:spacing w:line="240" w:lineRule="auto"/>
        <w:ind w:left="720"/>
      </w:pPr>
      <w:r/>
      <w:r>
        <w:t>Consider condos if you want a faster path to ownership; watch service charges and reserve funds.</w:t>
      </w:r>
      <w:r/>
    </w:p>
    <w:p>
      <w:pPr>
        <w:pStyle w:val="ListBullet"/>
        <w:spacing w:line="240" w:lineRule="auto"/>
        <w:ind w:left="720"/>
      </w:pPr>
      <w:r/>
      <w:r>
        <w:t>Prioritise neighbourhood attributes that matter most: commute time, access to queer services, sunlight and outdoor space.</w:t>
      </w:r>
      <w:r/>
    </w:p>
    <w:p>
      <w:pPr>
        <w:pStyle w:val="ListBullet"/>
        <w:spacing w:line="240" w:lineRule="auto"/>
        <w:ind w:left="720"/>
      </w:pPr>
      <w:r/>
      <w:r>
        <w:t>Build a realistic buffer for closing costs and insurance, and improve credit where possible before applying.</w:t>
      </w:r>
      <w:r/>
    </w:p>
    <w:p>
      <w:pPr>
        <w:pStyle w:val="ListBullet"/>
        <w:spacing w:line="240" w:lineRule="auto"/>
        <w:ind w:left="720"/>
      </w:pPr>
      <w:r/>
      <w:r>
        <w:t>Tap local LGBTQ Realtor networks for agents who understand both the market and community dynamics.</w:t>
      </w:r>
      <w:r/>
      <w:r/>
    </w:p>
    <w:p>
      <w:r/>
      <w:r>
        <w:t>Looking ahead: patience and strategy pay off</w:t>
      </w:r>
      <w:r/>
    </w:p>
    <w:p>
      <w:r/>
      <w:r>
        <w:t>San Francisco will likely stay competitive for buyers of all orientations, but that means strategy matters more than ever. If you’re priced out of one pocket of the city, widen the map: North Bay suburbs with good transit links have become surprising options. And if you care most about community, the city is still full of corners where queer life is vibrant and varied.</w:t>
      </w:r>
      <w:r/>
    </w:p>
    <w:p>
      <w:r/>
      <w:r>
        <w:t>It’s a small change in planning that can make homeownership feel much more attainable.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2">
        <w:r>
          <w:rPr>
            <w:color w:val="0000EE"/>
            <w:u w:val="single"/>
          </w:rPr>
          <w:t>[3]</w:t>
        </w:r>
      </w:hyperlink>
      <w:r>
        <w:t xml:space="preserve">- Paragraph 6: </w:t>
      </w:r>
      <w:hyperlink r:id="rId10">
        <w:r>
          <w:rPr>
            <w:color w:val="0000EE"/>
            <w:u w:val="single"/>
          </w:rPr>
          <w:t>[2]</w:t>
        </w:r>
      </w:hyperlink>
      <w:r>
        <w:t xml:space="preserve">, </w:t>
      </w:r>
      <w:hyperlink r:id="rId13">
        <w:r>
          <w:rPr>
            <w:color w:val="0000EE"/>
            <w:u w:val="single"/>
          </w:rPr>
          <w:t>[7]</w:t>
        </w:r>
      </w:hyperlink>
      <w:r>
        <w:t xml:space="preserve">- Paragraph 7: </w:t>
      </w:r>
      <w:hyperlink r:id="rId9">
        <w:r>
          <w:rPr>
            <w:color w:val="0000EE"/>
            <w:u w:val="single"/>
          </w:rPr>
          <w:t>[1]</w:t>
        </w:r>
      </w:hyperlink>
      <w:r>
        <w:t xml:space="preserve">, </w:t>
      </w:r>
      <w:hyperlink r:id="rId14">
        <w:r>
          <w:rPr>
            <w:color w:val="0000EE"/>
            <w:u w:val="single"/>
          </w:rPr>
          <w:t>[5]</w:t>
        </w:r>
      </w:hyperlink>
      <w:r>
        <w:t xml:space="preserve">- Paragraph 8: </w:t>
      </w:r>
      <w:hyperlink r:id="rId10">
        <w:r>
          <w:rPr>
            <w:color w:val="0000EE"/>
            <w:u w:val="single"/>
          </w:rPr>
          <w:t>[2]</w:t>
        </w:r>
      </w:hyperlink>
      <w:r>
        <w:t xml:space="preserve">, </w:t>
      </w:r>
      <w:hyperlink r:id="rId15">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https://www.washingtonblade.com/2026/08/28/ice-arrests-milo-yiannopoulos-in-new-orleans/</w:t>
        </w:r>
      </w:hyperlink>
      <w:r>
        <w:t xml:space="preserve"> - Please view link - unable to able to access data</w:t>
      </w:r>
      <w:r/>
    </w:p>
    <w:p>
      <w:pPr>
        <w:pStyle w:val="ListNumber"/>
        <w:spacing w:line="240" w:lineRule="auto"/>
        <w:ind w:left="720"/>
      </w:pPr>
      <w:r/>
      <w:hyperlink r:id="rId10">
        <w:r>
          <w:rPr>
            <w:color w:val="0000EE"/>
            <w:u w:val="single"/>
          </w:rPr>
          <w:t>https://www.fanniemae.com/media/document/pdf/data-research-white-paper-lgbtq.pdf</w:t>
        </w:r>
      </w:hyperlink>
      <w:r>
        <w:t xml:space="preserve"> - This white paper from Fannie Mae explores data and research on homeownership disparities and disparate treatment for applicants or borrowers identifying as LGBTQ+. It highlights that the overall LGBT homeownership rate among LGBT consumers was 46% in 2023, compared to the overall U.S. homeownership rate of 65% in 2022. The paper also discusses the challenges faced by LGBTQ+ individuals in achieving homeownership, including financial barriers and discrimination.</w:t>
      </w:r>
      <w:r/>
    </w:p>
    <w:p>
      <w:pPr>
        <w:pStyle w:val="ListNumber"/>
        <w:spacing w:line="240" w:lineRule="auto"/>
        <w:ind w:left="720"/>
      </w:pPr>
      <w:r/>
      <w:hyperlink r:id="rId12">
        <w:r>
          <w:rPr>
            <w:color w:val="0000EE"/>
            <w:u w:val="single"/>
          </w:rPr>
          <w:t>https://www.urban.org/research/publication/why-are-there-gaps-lgbtq-homeownership</w:t>
        </w:r>
      </w:hyperlink>
      <w:r>
        <w:t xml:space="preserve"> - This research report from the Urban Institute examines the factors contributing to the 20 percentage point lower homeownership rate among LGBTQ+ individuals compared to their straight and cisgender counterparts. It identifies demographic trends and systemic issues that contribute to these disparities, providing insights into the challenges faced by the LGBTQ+ community in achieving homeownership.</w:t>
      </w:r>
      <w:r/>
    </w:p>
    <w:p>
      <w:pPr>
        <w:pStyle w:val="ListNumber"/>
        <w:spacing w:line="240" w:lineRule="auto"/>
        <w:ind w:left="720"/>
      </w:pPr>
      <w:r/>
      <w:hyperlink r:id="rId15">
        <w:r>
          <w:rPr>
            <w:color w:val="0000EE"/>
            <w:u w:val="single"/>
          </w:rPr>
          <w:t>https://www.statista.com/study/65261/lgbt-homeownership-in-the-united-states/</w:t>
        </w:r>
      </w:hyperlink>
      <w:r>
        <w:t xml:space="preserve"> - This report from Statista presents a range of statistics and facts on LGBT homeownership in the United States. It includes data on homeownership rates, types of homes purchased, and the identification of LGBTQ+ individuals in the U.S. from 2012 to 2025, offering a comprehensive overview of the state of LGBT homeownership in the country.</w:t>
      </w:r>
      <w:r/>
    </w:p>
    <w:p>
      <w:pPr>
        <w:pStyle w:val="ListNumber"/>
        <w:spacing w:line="240" w:lineRule="auto"/>
        <w:ind w:left="720"/>
      </w:pPr>
      <w:r/>
      <w:hyperlink r:id="rId14">
        <w:r>
          <w:rPr>
            <w:color w:val="0000EE"/>
            <w:u w:val="single"/>
          </w:rPr>
          <w:t>https://www.axios.com/2024/06/15/lgbtq-barriers-homeownership</w:t>
        </w:r>
      </w:hyperlink>
      <w:r>
        <w:t xml:space="preserve"> - This article from Axios discusses the financial challenges LGBTQ+ individuals face in purchasing homes in inclusive metropolitan areas. It highlights that individuals need to earn approximately $150,000 annually to afford a typical home in LGBTQ+-friendly metros, nearly 50% more than in areas without legal protections for LGBTQ+ people. The article also touches on the emotional toll of homebuying and the importance of community acceptance.</w:t>
      </w:r>
      <w:r/>
    </w:p>
    <w:p>
      <w:pPr>
        <w:pStyle w:val="ListNumber"/>
        <w:spacing w:line="240" w:lineRule="auto"/>
        <w:ind w:left="720"/>
      </w:pPr>
      <w:r/>
      <w:hyperlink r:id="rId11">
        <w:r>
          <w:rPr>
            <w:color w:val="0000EE"/>
            <w:u w:val="single"/>
          </w:rPr>
          <w:t>https://www.axios.com/2026/06/20/lgbtq-americans-housing</w:t>
        </w:r>
      </w:hyperlink>
      <w:r>
        <w:t xml:space="preserve"> - This Axios article explores the complexities of housing decisions for LGBTQ+ Americans, noting that many are choosing to stay in or move to affordable and economically promising red-state metros, rather than migrating exclusively to historically progressive urban centers. It discusses how economic factors like job opportunities and housing affordability influence relocation decisions, despite the legislative risks in some states.</w:t>
      </w:r>
      <w:r/>
    </w:p>
    <w:p>
      <w:pPr>
        <w:pStyle w:val="ListNumber"/>
        <w:spacing w:line="240" w:lineRule="auto"/>
        <w:ind w:left="720"/>
      </w:pPr>
      <w:r/>
      <w:hyperlink r:id="rId13">
        <w:r>
          <w:rPr>
            <w:color w:val="0000EE"/>
            <w:u w:val="single"/>
          </w:rPr>
          <w:t>https://www.sec.gov/Archives/edgar/data/310522/000031052225000200/fnma2024q4pressrelease.htm</w:t>
        </w:r>
      </w:hyperlink>
      <w:r>
        <w:t xml:space="preserve"> - This press release from the U.S. Securities and Exchange Commission details Fannie Mae's financial results for the fourth quarter and full year of 2024. It reports a net income of $4.1 billion for the fourth quarter and $17.0 billion for the full year, with a net worth reaching $94.7 billion as of December 31, 2024. The release also highlights Fannie Mae's role in providing liquidity to the U.S. housing market, helping 1.4 million households buy, refinance, or rent a home.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8/ice-arrests-milo-yiannopoulos-in-new-orleans/" TargetMode="External"/><Relationship Id="rId10" Type="http://schemas.openxmlformats.org/officeDocument/2006/relationships/hyperlink" Target="https://www.fanniemae.com/media/document/pdf/data-research-white-paper-lgbtq.pdf" TargetMode="External"/><Relationship Id="rId11" Type="http://schemas.openxmlformats.org/officeDocument/2006/relationships/hyperlink" Target="https://www.axios.com/2026/06/20/lgbtq-americans-housing" TargetMode="External"/><Relationship Id="rId12" Type="http://schemas.openxmlformats.org/officeDocument/2006/relationships/hyperlink" Target="https://www.urban.org/research/publication/why-are-there-gaps-lgbtq-homeownership" TargetMode="External"/><Relationship Id="rId13" Type="http://schemas.openxmlformats.org/officeDocument/2006/relationships/hyperlink" Target="https://www.sec.gov/Archives/edgar/data/310522/000031052225000200/fnma2024q4pressrelease.htm" TargetMode="External"/><Relationship Id="rId14" Type="http://schemas.openxmlformats.org/officeDocument/2006/relationships/hyperlink" Target="https://www.axios.com/2024/06/15/lgbtq-barriers-homeownership" TargetMode="External"/><Relationship Id="rId15" Type="http://schemas.openxmlformats.org/officeDocument/2006/relationships/hyperlink" Target="https://www.statista.com/study/65261/lgbt-homeownership-in-the-united-sta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