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Destinations for Rights-Conscious Travellers: Why Policy Now Sells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travellers and event planners are choosing destinations by law as much as by beaches , shoppers, corporate buyers and high-spending visitors are favouring places with codified human rights protections, and Canada’s federal 2SLGBTQI+ Action Plan is a standout example of why policy can be the smartest tourism asset.</w:t>
      </w:r>
      <w:r/>
    </w:p>
    <w:p>
      <w:r/>
      <w:r>
        <w:t>Essential Takeaways</w:t>
      </w:r>
      <w:r/>
      <w:r/>
    </w:p>
    <w:p>
      <w:pPr>
        <w:pStyle w:val="ListBullet"/>
        <w:spacing w:line="240" w:lineRule="auto"/>
        <w:ind w:left="720"/>
      </w:pPr>
      <w:r/>
      <w:r>
        <w:rPr>
          <w:b/>
        </w:rPr>
        <w:t>Policy as product:</w:t>
      </w:r>
      <w:r>
        <w:t xml:space="preserve"> Codified rights, not just marketing, are becoming a durable competitive advantage for destinations.</w:t>
      </w:r>
      <w:r/>
    </w:p>
    <w:p>
      <w:pPr>
        <w:pStyle w:val="ListBullet"/>
        <w:spacing w:line="240" w:lineRule="auto"/>
        <w:ind w:left="720"/>
      </w:pPr>
      <w:r/>
      <w:r>
        <w:rPr>
          <w:b/>
        </w:rPr>
        <w:t>Higher yield:</w:t>
      </w:r>
      <w:r>
        <w:t xml:space="preserve"> Top safety-index nations often see longer stays and higher daily spend, giving hotels and venues a premium feel.</w:t>
      </w:r>
      <w:r/>
    </w:p>
    <w:p>
      <w:pPr>
        <w:pStyle w:val="ListBullet"/>
        <w:spacing w:line="240" w:lineRule="auto"/>
        <w:ind w:left="720"/>
      </w:pPr>
      <w:r/>
      <w:r>
        <w:rPr>
          <w:b/>
        </w:rPr>
        <w:t>MICE-safe:</w:t>
      </w:r>
      <w:r>
        <w:t xml:space="preserve"> Corporate event buyers prefer destinations with legal protections to reduce liability and duty-of-care risk.</w:t>
      </w:r>
      <w:r/>
    </w:p>
    <w:p>
      <w:pPr>
        <w:pStyle w:val="ListBullet"/>
        <w:spacing w:line="240" w:lineRule="auto"/>
        <w:ind w:left="720"/>
      </w:pPr>
      <w:r/>
      <w:r>
        <w:rPr>
          <w:b/>
        </w:rPr>
        <w:t>Practical checks:</w:t>
      </w:r>
      <w:r>
        <w:t xml:space="preserve"> Verify civil marriage equality, anti-discrimination laws, gender self-determination and conversion-therapy bans before booking.</w:t>
      </w:r>
      <w:r/>
    </w:p>
    <w:p>
      <w:pPr>
        <w:pStyle w:val="ListBullet"/>
        <w:spacing w:line="240" w:lineRule="auto"/>
        <w:ind w:left="720"/>
      </w:pPr>
      <w:r/>
      <w:r>
        <w:rPr>
          <w:b/>
        </w:rPr>
        <w:t>Local nuance:</w:t>
      </w:r>
      <w:r>
        <w:t xml:space="preserve"> Strong federal laws matter, but urban centres usually deliver the most inclusive on-the-ground experiences.</w:t>
      </w:r>
      <w:r/>
      <w:r/>
    </w:p>
    <w:p>
      <w:pPr>
        <w:pStyle w:val="Heading2"/>
      </w:pPr>
      <w:r>
        <w:t>Opening hook: Governments are now part of the travel brochure</w:t>
      </w:r>
      <w:r/>
    </w:p>
    <w:p>
      <w:r/>
      <w:r>
        <w:t>You can smell the difference , safer, steadier tourism feels more confident. According to analysis of emerging market patterns, destinations that embed human-rights protections into law enjoy a form of credibility that no poster campaign can buy. That shift changes how hotels, DMOs and national tourism boards think about brand-building.</w:t>
      </w:r>
      <w:r/>
    </w:p>
    <w:p>
      <w:r/>
      <w:r>
        <w:t>Backstory: why policy outranks promotions this season</w:t>
      </w:r>
      <w:r/>
    </w:p>
    <w:p>
      <w:r/>
      <w:r>
        <w:t>For years a slick ad or viral campaign could lift a nation’s profile. But travel buyers and wealthy tourists now run a quick legal audit before they click buy. Studies and indices that score safety and equality have entered procurement checklists, and destinations with whole-of-government plans are reaping the rewards.</w:t>
      </w:r>
      <w:r/>
    </w:p>
    <w:p>
      <w:r/>
      <w:r>
        <w:t>Practical tip: if you’re booking an event or premium holiday, ask for legal proof , not just slogans , that guest protections exist.</w:t>
      </w:r>
      <w:r/>
    </w:p>
    <w:p>
      <w:pPr>
        <w:pStyle w:val="Heading2"/>
      </w:pPr>
      <w:r>
        <w:t>Canada’s federal plan: a template for trust and yield</w:t>
      </w:r>
      <w:r/>
    </w:p>
    <w:p>
      <w:r/>
      <w:r>
        <w:t>Canada’s Federal 2SLGBTQI+ Action Plan shows how a government can convert rights policy into tourism strength. The plan funds community capacity, supports projects across health and housing, and even offsets public-event security costs , measures that reduce operational headaches for festival organisers and conference planners.</w:t>
      </w:r>
      <w:r/>
    </w:p>
    <w:p>
      <w:r/>
      <w:r>
        <w:t>Context: according to Canada’s official pages, the plan channels millions into community programmes and resilience grants, building infrastructure that supports large, safe gatherings. The result is more robust conventions and steadier high-value leisure travel to cities like Toronto and Vancouver.</w:t>
      </w:r>
      <w:r/>
    </w:p>
    <w:p>
      <w:r/>
      <w:r>
        <w:t>Practical insight: when a state shares the bill for event security, insurers and MICE organisers see predictable costs , that’s a big part of why some cities win repeat contracts.</w:t>
      </w:r>
      <w:r/>
    </w:p>
    <w:p>
      <w:pPr>
        <w:pStyle w:val="Heading2"/>
      </w:pPr>
      <w:r>
        <w:t>Index power: safety scores drive spending</w:t>
      </w:r>
      <w:r/>
    </w:p>
    <w:p>
      <w:r/>
      <w:r>
        <w:t>Independent indices such as the Spartacus Gay Travel Index and comparative tools like Equaldex now shape perceptions and bookings. Destinations with top scores tend to command higher Average Daily Rates and longer stays, because visitors accept premium prices for certainty and inclusion.</w:t>
      </w:r>
      <w:r/>
    </w:p>
    <w:p>
      <w:r/>
      <w:r>
        <w:t>Trend note: travel advisors tell us that guests from high-yield markets show low price sensitivity when legislative safety is clear , they’ll pay for peace of mind.</w:t>
      </w:r>
      <w:r/>
    </w:p>
    <w:p>
      <w:r/>
      <w:r>
        <w:t>Practical tip: consult a destination’s latest index placement before contracting a venue or setting a rates strategy; it’s an actionable KPI for revenue forecasting.</w:t>
      </w:r>
      <w:r/>
    </w:p>
    <w:p>
      <w:pPr>
        <w:pStyle w:val="Heading2"/>
      </w:pPr>
      <w:r>
        <w:t>MICE, duty of care and corporate risk: why buyers switch hosts</w:t>
      </w:r>
      <w:r/>
    </w:p>
    <w:p>
      <w:r/>
      <w:r>
        <w:t>The MICE sector is especially sensitive to legal context. Corporate procurement teams have CSR and duty-of-care obligations, so they prefer countries with statutory protections to limit potential legal and reputational fallout.</w:t>
      </w:r>
      <w:r/>
    </w:p>
    <w:p>
      <w:r/>
      <w:r>
        <w:t>Observation: when national law is clear, firms avoid complex vendor clauses and can run inclusive programming without extra insurance. That’s why event planners increasingly shortlist only Tier 1 legal destinations.</w:t>
      </w:r>
      <w:r/>
    </w:p>
    <w:p>
      <w:r/>
      <w:r>
        <w:t>Practical tip: include a legal-framework review in RFPs and ask if hosts receive any government security subsidies , it can cut costs and speed approvals.</w:t>
      </w:r>
      <w:r/>
    </w:p>
    <w:p>
      <w:pPr>
        <w:pStyle w:val="Heading2"/>
      </w:pPr>
      <w:r>
        <w:t>From policy to plate: local reality still matters</w:t>
      </w:r>
      <w:r/>
    </w:p>
    <w:p>
      <w:r/>
      <w:r>
        <w:t>Even in nations with strong federal laws, rural pockets can lag on acceptance or specialised services. Metropolitan hubs usually offer the dense infrastructure required for safe, high-yield travel , think certified hotels, trained staff and community centres , while smaller towns may require more careful itinerary planning.</w:t>
      </w:r>
      <w:r/>
    </w:p>
    <w:p>
      <w:r/>
      <w:r>
        <w:t>Advice: mix the macro with the micro. Verify venue accreditation and staff training, and ask for local access to specialist healthcare or community resources where relevant.</w:t>
      </w:r>
      <w:r/>
    </w:p>
    <w:p>
      <w:pPr>
        <w:pStyle w:val="Heading2"/>
      </w:pPr>
      <w:r>
        <w:t>What governments should do next , and why travellers win</w:t>
      </w:r>
      <w:r/>
    </w:p>
    <w:p>
      <w:r/>
      <w:r>
        <w:t>Reallocating a slice of promotion budgets into institutional grants, training and event security creates authentic experiences that last. Countries that treat civil-rights laws as tourism infrastructure build resilience against seasonal reputation swings, and that benefits businesses and visitors alike.</w:t>
      </w:r>
      <w:r/>
    </w:p>
    <w:p>
      <w:r/>
      <w:r>
        <w:t>Outlook: as travel professionals embed safety indices into their decision trees, expect more nations to follow the playbook of those already reaping the gains.</w:t>
      </w:r>
      <w:r/>
    </w:p>
    <w:p>
      <w:r/>
      <w:r>
        <w:t>It's a small change in strategy with big returns , check the law before you book.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[7]</w:t>
        </w:r>
      </w:hyperlink>
      <w:r>
        <w:t xml:space="preserve">- Paragraph 2: </w:t>
      </w:r>
      <w:hyperlink r:id="rId9">
        <w:r>
          <w:rPr>
            <w:color w:val="0000EE"/>
            <w:u w:val="single"/>
          </w:rPr>
          <w:t>[7]</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9">
        <w:r>
          <w:rPr>
            <w:color w:val="0000EE"/>
            <w:u w:val="single"/>
          </w:rPr>
          <w:t>[7]</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Paragraph 5: </w:t>
      </w:r>
      <w:hyperlink r:id="rId9">
        <w:r>
          <w:rPr>
            <w:color w:val="0000EE"/>
            <w:u w:val="single"/>
          </w:rPr>
          <w:t>[7]</w:t>
        </w:r>
      </w:hyperlink>
      <w:r>
        <w:t xml:space="preserve">, </w:t>
      </w:r>
      <w:hyperlink r:id="rId10">
        <w:r>
          <w:rPr>
            <w:color w:val="0000EE"/>
            <w:u w:val="single"/>
          </w:rPr>
          <w:t>[2]</w:t>
        </w:r>
      </w:hyperlink>
      <w:r>
        <w:t xml:space="preserve">- Paragraph 6: </w:t>
      </w:r>
      <w:hyperlink r:id="rId9">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https://www.travelandtourworld.com/news/article/hlmnv24ofs7r/</w:t>
        </w:r>
      </w:hyperlink>
      <w:r>
        <w:t xml:space="preserve"> - Please view link - unable to able to access data</w:t>
      </w:r>
      <w:r/>
    </w:p>
    <w:p>
      <w:pPr>
        <w:pStyle w:val="ListNumber"/>
        <w:spacing w:line="240" w:lineRule="auto"/>
        <w:ind w:left="720"/>
      </w:pPr>
      <w:r/>
      <w:hyperlink r:id="rId10">
        <w:r>
          <w:rPr>
            <w:color w:val="0000EE"/>
            <w:u w:val="single"/>
          </w:rPr>
          <w:t>https://www.canada.ca/en/women-gender-equality/free-to-be-me/federal-2slgbtqi-plus-action-plan.html</w:t>
        </w:r>
      </w:hyperlink>
      <w:r>
        <w:t xml:space="preserve"> - Canada's Federal 2SLGBTQI+ Action Plan, launched in August 2022, aims to advance rights and equality for Two-Spirit, lesbian, gay, bisexual, transgender, queer, intersex, and additional sexually and gender diverse people. The plan focuses on six priority areas, including supporting community action, advancing rights at home and abroad, and engaging all Canadians in fostering an inclusive future. It represents a holistic approach to addressing inequities faced by 2SLGBTQI+ communities. (</w:t>
      </w:r>
      <w:hyperlink r:id="rId13">
        <w:r>
          <w:rPr>
            <w:color w:val="0000EE"/>
            <w:u w:val="single"/>
          </w:rPr>
          <w:t>canada.ca</w:t>
        </w:r>
      </w:hyperlink>
      <w:r>
        <w:t>)</w:t>
      </w:r>
      <w:r/>
    </w:p>
    <w:p>
      <w:pPr>
        <w:pStyle w:val="ListNumber"/>
        <w:spacing w:line="240" w:lineRule="auto"/>
        <w:ind w:left="720"/>
      </w:pPr>
      <w:r/>
      <w:hyperlink r:id="rId14">
        <w:r>
          <w:rPr>
            <w:color w:val="0000EE"/>
            <w:u w:val="single"/>
          </w:rPr>
          <w:t>https://www.canada.ca/en/women-gender-equality/news/2025/08/government-of-canada-reaffirms-support-for-2slgbtqi-communities.html</w:t>
        </w:r>
      </w:hyperlink>
      <w:r>
        <w:t xml:space="preserve"> - In August 2025, the Government of Canada reaffirmed its support for 2SLGBTQI+ communities by announcing achievements of the Federal 2SLGBTQI+ Action Plan. The plan includes investments such as $40 million through the 2SLGBTQI+ Community Capacity Fund and $35 million through the 2SLGBTQI+ Projects Fund to address discrimination and enhance supports. Additionally, a $25 million 2SLGBTQI+ Entrepreneurship Program was introduced to support 2SLGBTQI+ entrepreneurs across Canada. (</w:t>
      </w:r>
      <w:hyperlink r:id="rId15">
        <w:r>
          <w:rPr>
            <w:color w:val="0000EE"/>
            <w:u w:val="single"/>
          </w:rPr>
          <w:t>canada.ca</w:t>
        </w:r>
      </w:hyperlink>
      <w:r>
        <w:t>)</w:t>
      </w:r>
      <w:r/>
    </w:p>
    <w:p>
      <w:pPr>
        <w:pStyle w:val="ListNumber"/>
        <w:spacing w:line="240" w:lineRule="auto"/>
        <w:ind w:left="720"/>
      </w:pPr>
      <w:r/>
      <w:hyperlink r:id="rId11">
        <w:r>
          <w:rPr>
            <w:color w:val="0000EE"/>
            <w:u w:val="single"/>
          </w:rPr>
          <w:t>https://spartacus.gayguide.travel/gaytravelindex.pdf</w:t>
        </w:r>
      </w:hyperlink>
      <w:r>
        <w:t xml:space="preserve"> - The Spartacus Gay Travel Index 2026 evaluates the legal situation and living conditions for members of the queer community in various countries. It assesses 18 categories, including marriage equality and the death penalty for homosexuals, to provide a comprehensive overview of LGBTQIA+ rights globally. Countries are colour-coded, with dark green representing the most liberal and queer-friendly nations. (</w:t>
      </w:r>
      <w:hyperlink r:id="rId16">
        <w:r>
          <w:rPr>
            <w:color w:val="0000EE"/>
            <w:u w:val="single"/>
          </w:rPr>
          <w:t>spartacus.gayguide.travel</w:t>
        </w:r>
      </w:hyperlink>
      <w:r>
        <w:t>)</w:t>
      </w:r>
      <w:r/>
    </w:p>
    <w:p>
      <w:pPr>
        <w:pStyle w:val="ListNumber"/>
        <w:spacing w:line="240" w:lineRule="auto"/>
        <w:ind w:left="720"/>
      </w:pPr>
      <w:r/>
      <w:hyperlink r:id="rId12">
        <w:r>
          <w:rPr>
            <w:color w:val="0000EE"/>
            <w:u w:val="single"/>
          </w:rPr>
          <w:t>https://www.equaldex.com/equality-index?hl=en-US</w:t>
        </w:r>
      </w:hyperlink>
      <w:r>
        <w:t xml:space="preserve"> - Equaldex's Equality Index is a constantly evolving tool that tracks LGBTQIA+ rights and equality across different regions. It compiles data on various aspects such as marriage equality, anti-discrimination laws, and adoption rights to provide a comprehensive score for each country. The index is updated automatically as new data is added, offering an up-to-date assessment of global LGBTQIA+ rights. (</w:t>
      </w:r>
      <w:hyperlink r:id="rId17">
        <w:r>
          <w:rPr>
            <w:color w:val="0000EE"/>
            <w:u w:val="single"/>
          </w:rPr>
          <w:t>equaldex.com</w:t>
        </w:r>
      </w:hyperlink>
      <w:r>
        <w:t>)</w:t>
      </w:r>
      <w:r/>
    </w:p>
    <w:p>
      <w:pPr>
        <w:pStyle w:val="ListNumber"/>
        <w:spacing w:line="240" w:lineRule="auto"/>
        <w:ind w:left="720"/>
      </w:pPr>
      <w:r/>
      <w:hyperlink r:id="rId18">
        <w:r>
          <w:rPr>
            <w:color w:val="0000EE"/>
            <w:u w:val="single"/>
          </w:rPr>
          <w:t>https://www.youtube.com/watch?v=4cAN2KOYy_Q</w:t>
        </w:r>
      </w:hyperlink>
      <w:r>
        <w:t xml:space="preserve"> - This video from Global News, dated August 28, 2022, covers the unveiling of Canada's first-ever 2SLGBTQI+ action plan. The plan includes $100 million in spending over the next five years, with the majority allocated to grassroots groups aimed at helping people in their communities. The video provides insights into the government's commitment to supporting 2SLGBTQI+ communities across Canada.</w:t>
      </w:r>
      <w:r/>
    </w:p>
    <w:p>
      <w:pPr>
        <w:pStyle w:val="ListNumber"/>
        <w:spacing w:line="240" w:lineRule="auto"/>
        <w:ind w:left="720"/>
      </w:pPr>
      <w:r/>
      <w:hyperlink r:id="rId9">
        <w:r>
          <w:rPr>
            <w:color w:val="0000EE"/>
            <w:u w:val="single"/>
          </w:rPr>
          <w:t>https://www.travelandtourworld.com/news/article/hlmnv24ofs7r/</w:t>
        </w:r>
      </w:hyperlink>
      <w:r>
        <w:t xml:space="preserve"> - This article discusses how Canada's Federal 2SLGBTQI+ Action Plan has become a competitive advantage in the international tourism industry. It highlights the shift from traditional promotional campaigns to policy-driven tourism, emphasizing the importance of statutory human rights and safety in attracting high-revenue tourists and corporate events. The article also examines the positive correlation between high safety ratings and superior tourism performance metrics.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hlmnv24ofs7r/" TargetMode="External"/><Relationship Id="rId10" Type="http://schemas.openxmlformats.org/officeDocument/2006/relationships/hyperlink" Target="https://www.canada.ca/en/women-gender-equality/free-to-be-me/federal-2slgbtqi-plus-action-plan.html" TargetMode="External"/><Relationship Id="rId11" Type="http://schemas.openxmlformats.org/officeDocument/2006/relationships/hyperlink" Target="https://spartacus.gayguide.travel/gaytravelindex.pdf" TargetMode="External"/><Relationship Id="rId12" Type="http://schemas.openxmlformats.org/officeDocument/2006/relationships/hyperlink" Target="https://www.equaldex.com/equality-index?hl=en-US" TargetMode="External"/><Relationship Id="rId13" Type="http://schemas.openxmlformats.org/officeDocument/2006/relationships/hyperlink" Target="https://www.canada.ca/en/women-gender-equality/free-to-be-me/federal-2slgbtqi-plus-action-plan.html?utm_source=openai" TargetMode="External"/><Relationship Id="rId14" Type="http://schemas.openxmlformats.org/officeDocument/2006/relationships/hyperlink" Target="https://www.canada.ca/en/women-gender-equality/news/2025/08/government-of-canada-reaffirms-support-for-2slgbtqi-communities.html" TargetMode="External"/><Relationship Id="rId15" Type="http://schemas.openxmlformats.org/officeDocument/2006/relationships/hyperlink" Target="https://www.canada.ca/en/women-gender-equality/news/2025/08/government-of-canada-reaffirms-support-for-2slgbtqi-communities.html?utm_source=openai" TargetMode="External"/><Relationship Id="rId16" Type="http://schemas.openxmlformats.org/officeDocument/2006/relationships/hyperlink" Target="https://spartacus.gayguide.travel/gaytravelindex.pdf?utm_source=openai" TargetMode="External"/><Relationship Id="rId17" Type="http://schemas.openxmlformats.org/officeDocument/2006/relationships/hyperlink" Target="https://www.equaldex.com/equality-index?hl=en-US&amp;utm_source=openai" TargetMode="External"/><Relationship Id="rId18" Type="http://schemas.openxmlformats.org/officeDocument/2006/relationships/hyperlink" Target="https://www.youtube.com/watch?v=4cAN2KOYy_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