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Internal Comms Lessons from The Trevor Project for Leaders Today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Observe what matters and speak to it: The Trevor Project’s internal comms team shows how leaders can move fast, be compassionate and keep staff informed when social issues hit home, practical tactics for HR and comms teams at nonprofits, charities and mission-driven organisations.</w:t>
      </w:r>
      <w:r/>
    </w:p>
    <w:p>
      <w:r/>
      <w:r>
        <w:t>Essential Takeaways</w:t>
      </w:r>
      <w:r/>
      <w:r/>
    </w:p>
    <w:p>
      <w:pPr>
        <w:pStyle w:val="ListBullet"/>
        <w:spacing w:line="240" w:lineRule="auto"/>
        <w:ind w:left="720"/>
      </w:pPr>
      <w:r/>
      <w:r>
        <w:rPr>
          <w:b/>
        </w:rPr>
        <w:t>Start with impact:</w:t>
      </w:r>
      <w:r>
        <w:t xml:space="preserve"> Identify who’s most directly affected before drafting any message.</w:t>
      </w:r>
      <w:r/>
    </w:p>
    <w:p>
      <w:pPr>
        <w:pStyle w:val="ListBullet"/>
        <w:spacing w:line="240" w:lineRule="auto"/>
        <w:ind w:left="720"/>
      </w:pPr>
      <w:r/>
      <w:r>
        <w:rPr>
          <w:b/>
        </w:rPr>
        <w:t>Be proactive, not just reactive:</w:t>
      </w:r>
      <w:r>
        <w:t xml:space="preserve"> Use listening systems and organisational values to anticipate needs.</w:t>
      </w:r>
      <w:r/>
    </w:p>
    <w:p>
      <w:pPr>
        <w:pStyle w:val="ListBullet"/>
        <w:spacing w:line="240" w:lineRule="auto"/>
        <w:ind w:left="720"/>
      </w:pPr>
      <w:r/>
      <w:r>
        <w:rPr>
          <w:b/>
        </w:rPr>
        <w:t>Make space to grieve:</w:t>
      </w:r>
      <w:r>
        <w:t xml:space="preserve"> Create intentional communal moments after major operational changes.</w:t>
      </w:r>
      <w:r/>
    </w:p>
    <w:p>
      <w:pPr>
        <w:pStyle w:val="ListBullet"/>
        <w:spacing w:line="240" w:lineRule="auto"/>
        <w:ind w:left="720"/>
      </w:pPr>
      <w:r/>
      <w:r>
        <w:rPr>
          <w:b/>
        </w:rPr>
        <w:t>Tier your outreach:</w:t>
      </w:r>
      <w:r>
        <w:t xml:space="preserve"> Avoid message dilution by targeting audiences with tailored guidance.</w:t>
      </w:r>
      <w:r/>
    </w:p>
    <w:p>
      <w:pPr>
        <w:pStyle w:val="ListBullet"/>
        <w:spacing w:line="240" w:lineRule="auto"/>
        <w:ind w:left="720"/>
      </w:pPr>
      <w:r/>
      <w:r>
        <w:rPr>
          <w:b/>
        </w:rPr>
        <w:t>Arm leaders with practice:</w:t>
      </w:r>
      <w:r>
        <w:t xml:space="preserve"> Give senior staff opportunities to test messages, then share FAQs and talking points.</w:t>
      </w:r>
      <w:r/>
      <w:r/>
    </w:p>
    <w:p>
      <w:pPr>
        <w:pStyle w:val="Heading2"/>
      </w:pPr>
      <w:r>
        <w:t>Why asking “who’s affected?” changes everything</w:t>
      </w:r>
      <w:r/>
    </w:p>
    <w:p>
      <w:r/>
      <w:r>
        <w:t>The clearest rule from The Trevor Project is refreshingly simple: ask who’s most directly impacted, then decide who should hear from leadership first. That small change of ordering shifts comms from broadcast to care. It makes messages feel less like statements and more like support, something employees notice in tone and timing. For teams facing political or social flashpoints, that question helps you avoid the trap of one-size-fits-all comms and shows respect for lived experience.</w:t>
      </w:r>
      <w:r/>
    </w:p>
    <w:p>
      <w:pPr>
        <w:pStyle w:val="Heading2"/>
      </w:pPr>
      <w:r>
        <w:t>Build a listening ecosystem so you’re ready before crises land</w:t>
      </w:r>
      <w:r/>
    </w:p>
    <w:p>
      <w:r/>
      <w:r>
        <w:t>The Trevor Project doesn’t wait for chatter to become a crisis; it stitches together affinity groups, surveys, leader conversations and HR touchpoints to see ahead. That mosaic gives internal comms the context they need to act sooner. If you’ve got limited resources, start small: formalise monthly check-ins with affinity leads, run short pulse surveys, and map who you’d consult for different issue types. Over time the pattern of data will tell you what your people need before a headline does.</w:t>
      </w:r>
      <w:r/>
    </w:p>
    <w:p>
      <w:pPr>
        <w:pStyle w:val="Heading2"/>
      </w:pPr>
      <w:r>
        <w:t>When cuts or policy shifts wound people, create intentional space to grieve</w:t>
      </w:r>
      <w:r/>
    </w:p>
    <w:p>
      <w:r/>
      <w:r>
        <w:t>When federal changes in 2025 cost The Trevor Project a key service and staff roles, leaders didn’t rely on spontaneous rituals. They intentionally carved out community moments to honour the work and let people turn toward each other. That kind of deliberate gathering, structured, led and safe, helps staff process loss and protects morale. Practical tip: pair a factual update with a commemorative session and a practical Q&amp;A so emotions and logistics are both addressed.</w:t>
      </w:r>
      <w:r/>
    </w:p>
    <w:p>
      <w:pPr>
        <w:pStyle w:val="Heading2"/>
      </w:pPr>
      <w:r>
        <w:t>Targeted messaging keeps trust intact and messages potent</w:t>
      </w:r>
      <w:r/>
    </w:p>
    <w:p>
      <w:r/>
      <w:r>
        <w:t>Not every event needs an all-staff email. The Trevor Project uses audience tiers to decide whether the message should be organisation-wide, manager-led, or hyper-targeted. That economy preserves the weight of major communications and avoids fatigue. To replicate it, map your common audiences, define two to three trigger scenarios per audience, and pre-write modular content (leadership notes, manager talking points, FAQs) so you can deploy quickly and consistently.</w:t>
      </w:r>
      <w:r/>
    </w:p>
    <w:p>
      <w:pPr>
        <w:pStyle w:val="Heading2"/>
      </w:pPr>
      <w:r>
        <w:t>Help managers speak with confidence by letting them rehearse</w:t>
      </w:r>
      <w:r/>
    </w:p>
    <w:p>
      <w:r/>
      <w:r>
        <w:t>Words alone aren’t enough. Trevor’s comms team gives senior leaders a space to pressure-test messages biweekly, which builds understanding and permission to have hard conversations. Practising reduces the awkwardness managers often feel when supporting staff through identity-related or political issues. Give managers scripts, scenario FAQs and a rehearsal slot, then watch them move from nervous to grounded when real moments arrive.</w:t>
      </w:r>
      <w:r/>
    </w:p>
    <w:p>
      <w:pPr>
        <w:pStyle w:val="Heading2"/>
      </w:pPr>
      <w:r>
        <w:t>A few practical checklists to start tomorrow</w:t>
      </w:r>
      <w:r/>
      <w:r/>
    </w:p>
    <w:p>
      <w:pPr>
        <w:pStyle w:val="ListBullet"/>
        <w:spacing w:line="240" w:lineRule="auto"/>
        <w:ind w:left="720"/>
      </w:pPr>
      <w:r/>
      <w:r>
        <w:t>Run a quick audit: Who are your affinity groups and how often do they surface concerns?</w:t>
      </w:r>
      <w:r/>
    </w:p>
    <w:p>
      <w:pPr>
        <w:pStyle w:val="ListBullet"/>
        <w:spacing w:line="240" w:lineRule="auto"/>
        <w:ind w:left="720"/>
      </w:pPr>
      <w:r/>
      <w:r>
        <w:t>Build an audience-tier grid with three tiers: organisation-wide, team-level, and identity-based.</w:t>
      </w:r>
      <w:r/>
    </w:p>
    <w:p>
      <w:pPr>
        <w:pStyle w:val="ListBullet"/>
        <w:spacing w:line="240" w:lineRule="auto"/>
        <w:ind w:left="720"/>
      </w:pPr>
      <w:r/>
      <w:r>
        <w:t>Draft three modular templates: 1) leadership statement, 2) manager talking points, 3) staff FAQ.</w:t>
      </w:r>
      <w:r/>
    </w:p>
    <w:p>
      <w:pPr>
        <w:pStyle w:val="ListBullet"/>
        <w:spacing w:line="240" w:lineRule="auto"/>
        <w:ind w:left="720"/>
      </w:pPr>
      <w:r/>
      <w:r>
        <w:t>Schedule a monthly listening review where comms and people teams assess risks and needs.</w:t>
      </w:r>
      <w:r/>
    </w:p>
    <w:p>
      <w:pPr>
        <w:pStyle w:val="ListBullet"/>
        <w:spacing w:line="240" w:lineRule="auto"/>
        <w:ind w:left="720"/>
      </w:pPr>
      <w:r/>
      <w:r>
        <w:t>Plan one intentional community ritual for handling staff-impacting news, with time for grieving and practical next steps.</w:t>
      </w:r>
      <w:r/>
      <w:r/>
    </w:p>
    <w:p>
      <w:r/>
      <w:r>
        <w:t>It's a small shift in process that can make internal comms feel less mechanical and more human, your people will notice the difference.</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9">
        <w:r>
          <w:rPr>
            <w:color w:val="0000EE"/>
            <w:u w:val="single"/>
          </w:rPr>
          <w:t>[2]</w:t>
        </w:r>
      </w:hyperlink>
      <w:r>
        <w:t xml:space="preserve">, </w:t>
      </w:r>
      <w:hyperlink r:id="rId10">
        <w:r>
          <w:rPr>
            <w:color w:val="0000EE"/>
            <w:u w:val="single"/>
          </w:rPr>
          <w:t>[6]</w:t>
        </w:r>
      </w:hyperlink>
      <w:r>
        <w:t xml:space="preserve">- Paragraph 2: </w:t>
      </w:r>
      <w:hyperlink r:id="rId9">
        <w:r>
          <w:rPr>
            <w:color w:val="0000EE"/>
            <w:u w:val="single"/>
          </w:rPr>
          <w:t>[2]</w:t>
        </w:r>
      </w:hyperlink>
      <w:r>
        <w:t xml:space="preserve">, </w:t>
      </w:r>
      <w:hyperlink r:id="rId11">
        <w:r>
          <w:rPr>
            <w:color w:val="0000EE"/>
            <w:u w:val="single"/>
          </w:rPr>
          <w:t>[7]</w:t>
        </w:r>
      </w:hyperlink>
      <w:r>
        <w:t xml:space="preserve">- Paragraph 3: </w:t>
      </w:r>
      <w:hyperlink r:id="rId9">
        <w:r>
          <w:rPr>
            <w:color w:val="0000EE"/>
            <w:u w:val="single"/>
          </w:rPr>
          <w:t>[2]</w:t>
        </w:r>
      </w:hyperlink>
      <w:r>
        <w:t xml:space="preserve">, </w:t>
      </w:r>
      <w:hyperlink r:id="rId12">
        <w:r>
          <w:rPr>
            <w:color w:val="0000EE"/>
            <w:u w:val="single"/>
          </w:rPr>
          <w:t>[5]</w:t>
        </w:r>
      </w:hyperlink>
      <w:r>
        <w:t xml:space="preserve">- Paragraph 4: </w:t>
      </w:r>
      <w:hyperlink r:id="rId9">
        <w:r>
          <w:rPr>
            <w:color w:val="0000EE"/>
            <w:u w:val="single"/>
          </w:rPr>
          <w:t>[2]</w:t>
        </w:r>
      </w:hyperlink>
      <w:r>
        <w:t xml:space="preserve">, </w:t>
      </w:r>
      <w:hyperlink r:id="rId10">
        <w:r>
          <w:rPr>
            <w:color w:val="0000EE"/>
            <w:u w:val="single"/>
          </w:rPr>
          <w:t>[6]</w:t>
        </w:r>
      </w:hyperlink>
      <w:r>
        <w:t xml:space="preserve">- Paragraph 5: </w:t>
      </w:r>
      <w:hyperlink r:id="rId9">
        <w:r>
          <w:rPr>
            <w:color w:val="0000EE"/>
            <w:u w:val="single"/>
          </w:rPr>
          <w:t>[2]</w:t>
        </w:r>
      </w:hyperlink>
      <w:r>
        <w:t xml:space="preserve">, </w:t>
      </w:r>
      <w:hyperlink r:id="rId11">
        <w:r>
          <w:rPr>
            <w:color w:val="0000EE"/>
            <w:u w:val="single"/>
          </w:rPr>
          <w:t>[7]</w:t>
        </w:r>
      </w:hyperlink>
      <w:r>
        <w:t xml:space="preserve">- Paragraph 6: </w:t>
      </w:r>
      <w:hyperlink r:id="rId9">
        <w:r>
          <w:rPr>
            <w:color w:val="0000EE"/>
            <w:u w:val="single"/>
          </w:rPr>
          <w:t>[2]</w:t>
        </w:r>
      </w:hyperlink>
      <w:r>
        <w:t xml:space="preserve">, </w:t>
      </w:r>
      <w:hyperlink r:id="rId13">
        <w:r>
          <w:rPr>
            <w:color w:val="0000EE"/>
            <w:u w:val="single"/>
          </w:rPr>
          <w:t>[3]</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https://www.ragan.com/internal-communications-the-trevor-project-leadership/</w:t>
        </w:r>
      </w:hyperlink>
      <w:r>
        <w:t xml:space="preserve"> - Please view link - unable to able to access data</w:t>
      </w:r>
      <w:r/>
    </w:p>
    <w:p>
      <w:pPr>
        <w:pStyle w:val="ListNumber"/>
        <w:spacing w:line="240" w:lineRule="auto"/>
        <w:ind w:left="720"/>
      </w:pPr>
      <w:r/>
      <w:hyperlink r:id="rId9">
        <w:r>
          <w:rPr>
            <w:color w:val="0000EE"/>
            <w:u w:val="single"/>
          </w:rPr>
          <w:t>https://www.ragan.com/internal-communications-the-trevor-project-leadership/</w:t>
        </w:r>
      </w:hyperlink>
      <w:r>
        <w:t xml:space="preserve"> - An article discussing The Trevor Project's approach to internal communications during sensitive moments. It features insights from Ngozi Magena, the director of internal communications, on how the organisation addresses major social issues affecting its community. The piece highlights the importance of understanding the community's needs, proactive communication strategies, and the role of affinity groups and employee feedback in shaping responses. It also touches upon the challenges related to diversity, equity, and inclusion (DEI) and the significance of tailored communication strategies for different employee groups.</w:t>
      </w:r>
      <w:r/>
    </w:p>
    <w:p>
      <w:pPr>
        <w:pStyle w:val="ListNumber"/>
        <w:spacing w:line="240" w:lineRule="auto"/>
        <w:ind w:left="720"/>
      </w:pPr>
      <w:r/>
      <w:hyperlink r:id="rId13">
        <w:r>
          <w:rPr>
            <w:color w:val="0000EE"/>
            <w:u w:val="single"/>
          </w:rPr>
          <w:t>https://www.thetrevorproject.org/</w:t>
        </w:r>
      </w:hyperlink>
      <w:r>
        <w:t xml:space="preserve"> - The official website of The Trevor Project, the world's largest suicide prevention and crisis intervention organisation for LGBTQ+ young people. The site offers 24/7 crisis counselling via phone, text, and chat, along with resources and support for LGBTQ+ youth. It also provides information on the organisation's mission, programs, and ways to get involved.</w:t>
      </w:r>
      <w:r/>
    </w:p>
    <w:p>
      <w:pPr>
        <w:pStyle w:val="ListNumber"/>
        <w:spacing w:line="240" w:lineRule="auto"/>
        <w:ind w:left="720"/>
      </w:pPr>
      <w:r/>
      <w:hyperlink r:id="rId14">
        <w:r>
          <w:rPr>
            <w:color w:val="0000EE"/>
            <w:u w:val="single"/>
          </w:rPr>
          <w:t>https://www.thetrevorproject.org/contact-us/</w:t>
        </w:r>
      </w:hyperlink>
      <w:r>
        <w:t xml:space="preserve"> - The contact page for The Trevor Project, providing information for reaching out to the organisation. It includes options for LGBTQ+ young people in need of support, general inquiries, press inquiries, and requests for speakers. The page also lists the organisation's administrative phone number and mailing address.</w:t>
      </w:r>
      <w:r/>
    </w:p>
    <w:p>
      <w:pPr>
        <w:pStyle w:val="ListNumber"/>
        <w:spacing w:line="240" w:lineRule="auto"/>
        <w:ind w:left="720"/>
      </w:pPr>
      <w:r/>
      <w:hyperlink r:id="rId12">
        <w:r>
          <w:rPr>
            <w:color w:val="0000EE"/>
            <w:u w:val="single"/>
          </w:rPr>
          <w:t>https://www.odwyerpr.com/story/public/24111/2026-01-08/move-trevor-projects-names-wong-cco.html</w:t>
        </w:r>
      </w:hyperlink>
      <w:r>
        <w:t xml:space="preserve"> - A news article announcing Kevin Wong's promotion to Chief Communications Officer at The Trevor Project. The piece details Wong's background, including his previous roles at iHeart Media and Six Flags, and outlines his responsibilities in the new role, which encompass overseeing the communications team, media relations, brand positioning, internal communications, and celebrity and influencer engagement.</w:t>
      </w:r>
      <w:r/>
    </w:p>
    <w:p>
      <w:pPr>
        <w:pStyle w:val="ListNumber"/>
        <w:spacing w:line="240" w:lineRule="auto"/>
        <w:ind w:left="720"/>
      </w:pPr>
      <w:r/>
      <w:hyperlink r:id="rId10">
        <w:r>
          <w:rPr>
            <w:color w:val="0000EE"/>
            <w:u w:val="single"/>
          </w:rPr>
          <w:t>https://www.thetrevorproject.org/leadership/</w:t>
        </w:r>
      </w:hyperlink>
      <w:r>
        <w:t xml:space="preserve"> - The leadership page of The Trevor Project, listing key executives and their roles within the organisation. It provides brief profiles of the leadership team, including their backgrounds and responsibilities, highlighting the individuals guiding the organisation's mission to prevent suicide among LGBTQ+ young people.</w:t>
      </w:r>
      <w:r/>
    </w:p>
    <w:p>
      <w:pPr>
        <w:pStyle w:val="ListNumber"/>
        <w:spacing w:line="240" w:lineRule="auto"/>
        <w:ind w:left="720"/>
      </w:pPr>
      <w:r/>
      <w:hyperlink r:id="rId11">
        <w:r>
          <w:rPr>
            <w:color w:val="0000EE"/>
            <w:u w:val="single"/>
          </w:rPr>
          <w:t>https://www.theorg.com/org/the-trevor-project/teams/marketing-and-communications</w:t>
        </w:r>
      </w:hyperlink>
      <w:r>
        <w:t xml:space="preserve"> - An overview of The Trevor Project's Marketing and Communications team, detailing their role in raising awareness about the organisation's mission. The page lists team members, including Kevin Wong as Chief Communications Officer, and describes their responsibilities in developing and implementing strategic marketing campaigns, managing media relations, and overseeing content creation across various platforms.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ragan.com/internal-communications-the-trevor-project-leadership/" TargetMode="External"/><Relationship Id="rId10" Type="http://schemas.openxmlformats.org/officeDocument/2006/relationships/hyperlink" Target="https://www.thetrevorproject.org/leadership/" TargetMode="External"/><Relationship Id="rId11" Type="http://schemas.openxmlformats.org/officeDocument/2006/relationships/hyperlink" Target="https://www.theorg.com/org/the-trevor-project/teams/marketing-and-communications" TargetMode="External"/><Relationship Id="rId12" Type="http://schemas.openxmlformats.org/officeDocument/2006/relationships/hyperlink" Target="https://www.odwyerpr.com/story/public/24111/2026-01-08/move-trevor-projects-names-wong-cco.html" TargetMode="External"/><Relationship Id="rId13" Type="http://schemas.openxmlformats.org/officeDocument/2006/relationships/hyperlink" Target="https://www.thetrevorproject.org/" TargetMode="External"/><Relationship Id="rId14" Type="http://schemas.openxmlformats.org/officeDocument/2006/relationships/hyperlink" Target="https://www.thetrevorproject.org/contact-u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