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Spot and Call Out Camouflaged Intolerance in Public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camouflaged intolerance matters because words shape who gets heard and who gets hurt; critics, community members and bystanders in Norway and beyond are noticing when arguments that look neutral actually sideline marginalised groups , and that matters for fairness, safety and social trust.</w:t>
      </w:r>
      <w:r/>
    </w:p>
    <w:p>
      <w:r/>
      <w:r>
        <w:t>Essential Takeaways</w:t>
      </w:r>
      <w:r/>
      <w:r/>
    </w:p>
    <w:p>
      <w:pPr>
        <w:pStyle w:val="ListBullet"/>
        <w:spacing w:line="240" w:lineRule="auto"/>
        <w:ind w:left="720"/>
      </w:pPr>
      <w:r/>
      <w:r>
        <w:rPr>
          <w:b/>
        </w:rPr>
        <w:t>Camouflage tactic:</w:t>
      </w:r>
      <w:r>
        <w:t xml:space="preserve"> Critics often pit vulnerable groups against each other to appear balanced while undermining one group’s needs.</w:t>
      </w:r>
      <w:r/>
    </w:p>
    <w:p>
      <w:pPr>
        <w:pStyle w:val="ListBullet"/>
        <w:spacing w:line="240" w:lineRule="auto"/>
        <w:ind w:left="720"/>
      </w:pPr>
      <w:r/>
      <w:r>
        <w:rPr>
          <w:b/>
        </w:rPr>
        <w:t>Visibility vs membership:</w:t>
      </w:r>
      <w:r>
        <w:t xml:space="preserve"> A small organisation’s membership count doesn’t measure wider public sympathy or the real social footprint of a movement.</w:t>
      </w:r>
      <w:r/>
    </w:p>
    <w:p>
      <w:pPr>
        <w:pStyle w:val="ListBullet"/>
        <w:spacing w:line="240" w:lineRule="auto"/>
        <w:ind w:left="720"/>
      </w:pPr>
      <w:r/>
      <w:r>
        <w:rPr>
          <w:b/>
        </w:rPr>
        <w:t>Simple solutions exist:</w:t>
      </w:r>
      <w:r>
        <w:t xml:space="preserve"> Acceptance, tolerance and better attitudes can resolve many social exclusion problems more quickly than complex policy fixes.</w:t>
      </w:r>
      <w:r/>
    </w:p>
    <w:p>
      <w:pPr>
        <w:pStyle w:val="ListBullet"/>
        <w:spacing w:line="240" w:lineRule="auto"/>
        <w:ind w:left="720"/>
      </w:pPr>
      <w:r/>
      <w:r>
        <w:rPr>
          <w:b/>
        </w:rPr>
        <w:t>Information matters:</w:t>
      </w:r>
      <w:r>
        <w:t xml:space="preserve"> Greater public awareness and accessible information can increase help-seeking and reduce harmful stigma.</w:t>
      </w:r>
      <w:r/>
    </w:p>
    <w:p>
      <w:pPr>
        <w:pStyle w:val="ListBullet"/>
        <w:spacing w:line="240" w:lineRule="auto"/>
        <w:ind w:left="720"/>
      </w:pPr>
      <w:r/>
      <w:r>
        <w:rPr>
          <w:b/>
        </w:rPr>
        <w:t>Watch for deflection:</w:t>
      </w:r>
      <w:r>
        <w:t xml:space="preserve"> Bringing up outlier practices or fringe groups to discredit a whole community is a classic distraction technique.</w:t>
      </w:r>
      <w:r/>
      <w:r/>
    </w:p>
    <w:p>
      <w:pPr>
        <w:pStyle w:val="Heading2"/>
      </w:pPr>
      <w:r>
        <w:t>Why comparing groups can be a political smoke screen</w:t>
      </w:r>
      <w:r/>
    </w:p>
    <w:p>
      <w:r/>
      <w:r>
        <w:t>The opening move in many opinion pieces is to set one vulnerable group against another, and it feels emotionally savvy because it claims universal concern. But the effect is often to erase the specific harms a group faces while pretending to be impartial. According to commentators in the Norwegian debate, this sort of comparison can obscure that some problems need structural, economic fixes while others , like social acceptance of gender and sexual minorities , are largely about shifting attitudes. Keep an eye out for arguments that ask “why them?” instead of “what do they need?”</w:t>
      </w:r>
      <w:r/>
    </w:p>
    <w:p>
      <w:pPr>
        <w:pStyle w:val="Heading2"/>
      </w:pPr>
      <w:r>
        <w:t>Numbers don’t always tell the whole story</w:t>
      </w:r>
      <w:r/>
    </w:p>
    <w:p>
      <w:r/>
      <w:r>
        <w:t>Pointing to an organisation’s small membership as proof that a movement is marginal is a neat rhetorical trick, yet it’s misleading. Public events, allyship and cultural visibility regularly outstrip formal membership figures. For instance, large Pride turnouts show broad sympathy that membership rolls won’t capture. If you’re trying to gauge public support, look at engagement, attendance and cultural signals as well as formal memberships.</w:t>
      </w:r>
      <w:r/>
    </w:p>
    <w:p>
      <w:pPr>
        <w:pStyle w:val="Heading2"/>
      </w:pPr>
      <w:r>
        <w:t>When fringe examples are used to discredit everyone</w:t>
      </w:r>
      <w:r/>
    </w:p>
    <w:p>
      <w:r/>
      <w:r>
        <w:t>A common tactic is to drag in extreme or unrelated examples , whether strange sects or foreign practices , and make them stand in for an entire community. It’s the old “guilt by association” move. That’s unfair and unhelpful, because most communities are diverse and include mainstream views alongside outliers. If someone’s argument rests on the worst, rare examples, treat it with caution and ask for proportional evidence.</w:t>
      </w:r>
      <w:r/>
    </w:p>
    <w:p>
      <w:pPr>
        <w:pStyle w:val="Heading2"/>
      </w:pPr>
      <w:r>
        <w:t>Openness and information increase help-seeking, not harm</w:t>
      </w:r>
      <w:r/>
    </w:p>
    <w:p>
      <w:r/>
      <w:r>
        <w:t>Rising numbers in clinical settings for issues such as gender incongruence are often treated as a crisis by critics, but there’s another, kinder reading: as stigma falls and information spreads, more people feel able to seek help. History shows that when societies reduce shame and open services, people get safer, better care. That doesn’t mean every system is perfect; it means public understanding and accessible services should be the focus, not moral panic.</w:t>
      </w:r>
      <w:r/>
    </w:p>
    <w:p>
      <w:pPr>
        <w:pStyle w:val="Heading2"/>
      </w:pPr>
      <w:r>
        <w:t>Naming the tactic helps protect public conversation</w:t>
      </w:r>
      <w:r/>
    </w:p>
    <w:p>
      <w:r/>
      <w:r>
        <w:t>Calling out camouflaged intolerance is partly about language. When an argument uses false equivalence, focuses on membership counts, or highlights fringe examples to smear an entire group, name the specific rhetorical move. That makes debate more honest and helps allies and bystanders intervene constructively. For readers, a simple habit , ask “who benefits from this framing?” , can cut through a lot of noise.</w:t>
      </w:r>
      <w:r/>
    </w:p>
    <w:p>
      <w:r/>
      <w:r>
        <w:t>It's a small change that can make public debate fairer and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11">
        <w:r>
          <w:rPr>
            <w:color w:val="0000EE"/>
            <w:u w:val="single"/>
          </w:rPr>
          <w:t>[3]</w:t>
        </w:r>
      </w:hyperlink>
      <w:r>
        <w:t xml:space="preserve">, </w:t>
      </w:r>
      <w:hyperlink r:id="rId15">
        <w:r>
          <w:rPr>
            <w:color w:val="0000EE"/>
            <w:u w:val="single"/>
          </w:rPr>
          <w:t>[5]</w:t>
        </w:r>
      </w:hyperlink>
      <w:r>
        <w:t xml:space="preserve">- Paragraph 5: </w:t>
      </w:r>
      <w:hyperlink r:id="rId12">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https://www.fvn.no/mening/debattinnlegg/o/0pbrkg/kamuflert-intoleranse</w:t>
        </w:r>
      </w:hyperlink>
      <w:r>
        <w:t xml:space="preserve"> - Please view link - unable to able to access data</w:t>
      </w:r>
      <w:r/>
    </w:p>
    <w:p>
      <w:pPr>
        <w:pStyle w:val="ListNumber"/>
        <w:spacing w:line="240" w:lineRule="auto"/>
        <w:ind w:left="720"/>
      </w:pPr>
      <w:r/>
      <w:hyperlink r:id="rId10">
        <w:r>
          <w:rPr>
            <w:color w:val="0000EE"/>
            <w:u w:val="single"/>
          </w:rPr>
          <w:t>https://www.simplypsychology.com/articles/autism-social-exhaustion-camouflaging</w:t>
        </w:r>
      </w:hyperlink>
      <w:r>
        <w:t xml:space="preserve"> - This article discusses the concept of camouflaging in autistic individuals, where they mimic neurotypical social behaviours to avoid stigma. While this strategy can protect against social discrimination, it is linked to higher rates of depression, anxiety, and burnout. The piece highlights that autistic women and girls are disproportionately likely to camouflage, leading to under-diagnosis. It also emphasises the importance of creating environments where autistic people can unmask, reducing the mental health burden without requiring them to disclose their diagnosis.</w:t>
      </w:r>
      <w:r/>
    </w:p>
    <w:p>
      <w:pPr>
        <w:pStyle w:val="ListNumber"/>
        <w:spacing w:line="240" w:lineRule="auto"/>
        <w:ind w:left="720"/>
      </w:pPr>
      <w:r/>
      <w:hyperlink r:id="rId11">
        <w:r>
          <w:rPr>
            <w:color w:val="0000EE"/>
            <w:u w:val="single"/>
          </w:rPr>
          <w:t>https://www.healthline.com/health/histamine-intolerance</w:t>
        </w:r>
      </w:hyperlink>
      <w:r>
        <w:t xml:space="preserve"> - This article provides an overview of histamine intolerance, a condition where the body cannot break down histamine properly, leading to elevated levels. It explains that histamine is a chemical responsible for various functions, including sending messages to the brain and triggering stomach acid release for digestion. The piece outlines common symptoms such as digestive issues, headaches, and nasal congestion, and discusses potential causes, including genetics, diet, and medications. It also covers diagnosis, treatment options, and dietary recommendations for managing the condition.</w:t>
      </w:r>
      <w:r/>
    </w:p>
    <w:p>
      <w:pPr>
        <w:pStyle w:val="ListNumber"/>
        <w:spacing w:line="240" w:lineRule="auto"/>
        <w:ind w:left="720"/>
      </w:pPr>
      <w:r/>
      <w:hyperlink r:id="rId13">
        <w:r>
          <w:rPr>
            <w:color w:val="0000EE"/>
            <w:u w:val="single"/>
          </w:rPr>
          <w:t>https://my.clevelandclinic.org/health/diseases/17659-alcohol-intolerance</w:t>
        </w:r>
      </w:hyperlink>
      <w:r>
        <w:t xml:space="preserve"> - This article explains alcohol intolerance, an inherited metabolic disorder where the body lacks the enzyme needed to metabolise alcohol. It details symptoms like facial flushing, headaches, and nausea that occur even after consuming small amounts of alcohol. The piece discusses the genetic basis of the condition, its prevalence, and how it differs from alcohol allergy. It also provides insights into managing the condition, including avoiding alcohol and consulting healthcare providers for personalised advice.</w:t>
      </w:r>
      <w:r/>
    </w:p>
    <w:p>
      <w:pPr>
        <w:pStyle w:val="ListNumber"/>
        <w:spacing w:line="240" w:lineRule="auto"/>
        <w:ind w:left="720"/>
      </w:pPr>
      <w:r/>
      <w:hyperlink r:id="rId15">
        <w:r>
          <w:rPr>
            <w:color w:val="0000EE"/>
            <w:u w:val="single"/>
          </w:rPr>
          <w:t>https://www.healthline.com/health/cold-intolerance</w:t>
        </w:r>
      </w:hyperlink>
      <w:r>
        <w:t xml:space="preserve"> - This article explores cold intolerance, a condition characterised by an extreme sensitivity to cold temperatures. It identifies potential causes such as thyroid problems, poor blood flow, anaemia, and fibromyalgia. The piece discusses symptoms like shivering, numbness, and fatigue, and emphasises the importance of consulting a doctor if experiencing new, severe, or persistent cold sensitivity. It also covers treatment options, including supplements, medications, lifestyle adjustments, and, in some cases, surgery, depending on the underlying cause.</w:t>
      </w:r>
      <w:r/>
    </w:p>
    <w:p>
      <w:pPr>
        <w:pStyle w:val="ListNumber"/>
        <w:spacing w:line="240" w:lineRule="auto"/>
        <w:ind w:left="720"/>
      </w:pPr>
      <w:r/>
      <w:hyperlink r:id="rId12">
        <w:r>
          <w:rPr>
            <w:color w:val="0000EE"/>
            <w:u w:val="single"/>
          </w:rPr>
          <w:t>https://arxiv.org/abs/2212.10717</w:t>
        </w:r>
      </w:hyperlink>
      <w:r>
        <w:t xml:space="preserve"> - This research paper introduces camouflaged data poisoning attacks in the context of machine unlearning and model retraining. The authors describe how an adversary can add carefully crafted data points to a training dataset, causing minimal impact on the model's predictions. When a request to remove a subset of these points is triggered, the attack is unleashed, negatively affecting the model's performance. The study demonstrates this attack on datasets like CIFAR-10, Imagenette, and Imagewoof, highlighting the potential risks in machine learning systems.</w:t>
      </w:r>
      <w:r/>
    </w:p>
    <w:p>
      <w:pPr>
        <w:pStyle w:val="ListNumber"/>
        <w:spacing w:line="240" w:lineRule="auto"/>
        <w:ind w:left="720"/>
      </w:pPr>
      <w:r/>
      <w:hyperlink r:id="rId14">
        <w:r>
          <w:rPr>
            <w:color w:val="0000EE"/>
            <w:u w:val="single"/>
          </w:rPr>
          <w:t>https://arxiv.org/abs/1909.04480</w:t>
        </w:r>
      </w:hyperlink>
      <w:r>
        <w:t xml:space="preserve"> - This paper presents the concept of spread-spectrum selective camouflaging based on time-modulated metasurfaces. The authors propose switching the metasurface between reflective states using an array of microstrip patches connected to the ground via diode switches, according to a periodic pseudo-random noise sequence. This technique reduces the power spectral density of the signal, making the object covered by the metasurface effectively camouflaged to hostile radar. The system is analysed theoretically and demonstrated through simulations and experimental results.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vn.no/mening/debattinnlegg/o/0pbrkg/kamuflert-intoleranse" TargetMode="External"/><Relationship Id="rId10" Type="http://schemas.openxmlformats.org/officeDocument/2006/relationships/hyperlink" Target="https://www.simplypsychology.com/articles/autism-social-exhaustion-camouflaging" TargetMode="External"/><Relationship Id="rId11" Type="http://schemas.openxmlformats.org/officeDocument/2006/relationships/hyperlink" Target="https://www.healthline.com/health/histamine-intolerance" TargetMode="External"/><Relationship Id="rId12" Type="http://schemas.openxmlformats.org/officeDocument/2006/relationships/hyperlink" Target="https://arxiv.org/abs/2212.10717" TargetMode="External"/><Relationship Id="rId13" Type="http://schemas.openxmlformats.org/officeDocument/2006/relationships/hyperlink" Target="https://my.clevelandclinic.org/health/diseases/17659-alcohol-intolerance" TargetMode="External"/><Relationship Id="rId14" Type="http://schemas.openxmlformats.org/officeDocument/2006/relationships/hyperlink" Target="https://arxiv.org/abs/1909.04480" TargetMode="External"/><Relationship Id="rId15" Type="http://schemas.openxmlformats.org/officeDocument/2006/relationships/hyperlink" Target="https://www.healthline.com/health/cold-intoler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