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Labour Can Reclaim Trust: Lessons from Letters This Week</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ideas are poring over Labour’s fault lines: readers from across the UK weighed in on housing, devolution, NHS staff and LGBT+ outreach, and their everyday examples show why the party’s next moves matter to real lives. Here’s what voters are saying, why it matters, and practical steps Labour could take to reconnect.</w:t>
      </w:r>
      <w:r/>
    </w:p>
    <w:p>
      <w:r/>
      <w:r>
        <w:t>Essential Takeaways</w:t>
      </w:r>
      <w:r/>
      <w:r/>
    </w:p>
    <w:p>
      <w:pPr>
        <w:pStyle w:val="ListBullet"/>
        <w:spacing w:line="240" w:lineRule="auto"/>
        <w:ind w:left="720"/>
      </w:pPr>
      <w:r/>
      <w:r>
        <w:rPr>
          <w:b/>
        </w:rPr>
        <w:t>Housing history matters:</w:t>
      </w:r>
      <w:r>
        <w:t xml:space="preserve"> Many readers blame both recent Conservatives and New Labour-era policies for the social housing squeeze; the tone is urgent and personal.</w:t>
      </w:r>
      <w:r/>
    </w:p>
    <w:p>
      <w:pPr>
        <w:pStyle w:val="ListBullet"/>
        <w:spacing w:line="240" w:lineRule="auto"/>
        <w:ind w:left="720"/>
      </w:pPr>
      <w:r/>
      <w:r>
        <w:rPr>
          <w:b/>
        </w:rPr>
        <w:t>Devolution cash ideas:</w:t>
      </w:r>
      <w:r>
        <w:t xml:space="preserve"> Regional development banks and 30-year bond proposals for Scotland and Wales are being suggested as practical, income-generating alternatives to short-term subsidies.</w:t>
      </w:r>
      <w:r/>
    </w:p>
    <w:p>
      <w:pPr>
        <w:pStyle w:val="ListBullet"/>
        <w:spacing w:line="240" w:lineRule="auto"/>
        <w:ind w:left="720"/>
      </w:pPr>
      <w:r/>
      <w:r>
        <w:rPr>
          <w:b/>
        </w:rPr>
        <w:t>Health workforce bottleneck:</w:t>
      </w:r>
      <w:r>
        <w:t xml:space="preserve"> Thousands of foreign-qualified dentists and nurses are reportedly waiting behind slow registration systems, leaving services strained.</w:t>
      </w:r>
      <w:r/>
    </w:p>
    <w:p>
      <w:pPr>
        <w:pStyle w:val="ListBullet"/>
        <w:spacing w:line="240" w:lineRule="auto"/>
        <w:ind w:left="720"/>
      </w:pPr>
      <w:r/>
      <w:r>
        <w:rPr>
          <w:b/>
        </w:rPr>
        <w:t>Local outreach frays:</w:t>
      </w:r>
      <w:r>
        <w:t xml:space="preserve"> Rejection from community events like pride stalls is damaging Labour’s ties with LGBT+ activists and could cost votes if not repaired.</w:t>
      </w:r>
      <w:r/>
    </w:p>
    <w:p>
      <w:pPr>
        <w:pStyle w:val="ListBullet"/>
        <w:spacing w:line="240" w:lineRule="auto"/>
        <w:ind w:left="720"/>
      </w:pPr>
      <w:r/>
      <w:r>
        <w:rPr>
          <w:b/>
        </w:rPr>
        <w:t>Emotional cue:</w:t>
      </w:r>
      <w:r>
        <w:t xml:space="preserve"> Contributors write with frustration but also hope , they want a Labour that learns from the past and acts differently.</w:t>
      </w:r>
      <w:r/>
      <w:r/>
    </w:p>
    <w:p>
      <w:pPr>
        <w:pStyle w:val="Heading2"/>
      </w:pPr>
      <w:r>
        <w:t>Why readers say housing needs honest history, not party box-ticking</w:t>
      </w:r>
      <w:r/>
    </w:p>
    <w:p>
      <w:r/>
      <w:r>
        <w:t>Readers reminded Labour that the housing crisis didn’t begin last year, and the issue smells of damp, frustration and missed promises for many households. They point to policy choices stretching back to the Blair years, when social housing was increasingly treated as an asset rather than a home, and argue that subsequent governments compounded the problem. That context matters because voters care about who admits past mistakes and who offers credible fixes. A candid appraisal of historic policy choices would feel more honest than fresh blame. Practical takeaway: Labour should publish a clear timeline of policy changes, paired with targeted commitments , for instance, rebuilding council housing stock and reforming Right to Buy , so people see a plan rather than rhetoric.</w:t>
      </w:r>
      <w:r/>
    </w:p>
    <w:p>
      <w:pPr>
        <w:pStyle w:val="Heading2"/>
      </w:pPr>
      <w:r>
        <w:t>Devolution and regional capital: can bonds and development banks deliver?</w:t>
      </w:r>
      <w:r/>
    </w:p>
    <w:p>
      <w:r/>
      <w:r>
        <w:t>Readers in Wales and Scotland are talking about pragmatic finance: long-term bonds and regional development banks to fund major projects and buy stakes in local assets. The idea is simple and attractive , borrow for 30 years, create revenue-generating regional shares rather than one-off subsidies, and keep the income local. It’s state capitalism with a community balance sheet rather than central grants alone. Other nations use similar models to stabilise public investment, and devolved banks already exist in the UK framework. So this isn’t theoretical, it’s a route to fund infrastructure credibly. Practical takeaway: If Labour backs regional investment banks and green bonds, it should set clear safeguards , independent governance, transparency, and definite targets for social housing and transport improvements.</w:t>
      </w:r>
      <w:r/>
    </w:p>
    <w:p>
      <w:pPr>
        <w:pStyle w:val="Heading2"/>
      </w:pPr>
      <w:r>
        <w:t>NHS staffing: registry delays are a real bottleneck for patients</w:t>
      </w:r>
      <w:r/>
    </w:p>
    <w:p>
      <w:r/>
      <w:r>
        <w:t>Several letters spotlight an avoidable part of the health crisis: qualified overseas clinicians waiting months or years to be registered and put to work. The statistics readers cite are stark , many foreign-qualified dentists and nurses remain stuck in registration limbo, while NHS services groan under demand. This isn’t just bureaucracy; it’s a human and clinical resource problem that prolongs waiting times and reduces access to routine care. Practical takeaway: Labour could promise fast-track registration pilots for high-need professions, resourcing regulators to clear backlogs and setting public timelines so communities see change.</w:t>
      </w:r>
      <w:r/>
    </w:p>
    <w:p>
      <w:pPr>
        <w:pStyle w:val="Heading2"/>
      </w:pPr>
      <w:r>
        <w:t>LGBT+ outreach: losing ground in local communities is a strategic risk</w:t>
      </w:r>
      <w:r/>
    </w:p>
    <w:p>
      <w:r/>
      <w:r>
        <w:t>A Labour activist’s account of being turned away from a local pride stall makes a point painfully clear: relationships with grassroots LGBT+ groups have frayed. This matters beyond symbolism. When the party is excluded from community spaces, it loses informal conversations, volunteer energy and the chance to rebuild trust. The frustration is palpable , people who once campaigned and donated feel awkward naming their party in polite company, and that quiet withdrawal can cost votes and volunteers. Practical takeaway: Repair starts locally. Labour should fund local liaison officers, issue a restorative outreach plan for LGBT+ groups, and make participation in community events a performance metric for local branches.</w:t>
      </w:r>
      <w:r/>
    </w:p>
    <w:p>
      <w:pPr>
        <w:pStyle w:val="Heading2"/>
      </w:pPr>
      <w:r>
        <w:t>What this all adds up to for Labour’s next steps</w:t>
      </w:r>
      <w:r/>
    </w:p>
    <w:p>
      <w:r/>
      <w:r>
        <w:t>Letters this week add a useful human chorus to policy debates: people want honesty about past mistakes, clear funding routes for local projects, pragmatic fixes for NHS staffing and deliberate, respectful outreach to marginalised communities. If Labour wants democratic legitimacy it must combine fresh policy with visible, everyday acts , faster registrations, local investment deals, and repaired community ties. It’s the small, practical moves that rebuild trust: show up, fix the backlog, fund the home, and say sorry where needed.</w:t>
      </w:r>
      <w:r/>
    </w:p>
    <w:p>
      <w:r/>
      <w:r>
        <w:t>It's a small set of changes that could make politics feel a bit more like public service again.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[5]</w:t>
        </w:r>
      </w:hyperlink>
      <w:r>
        <w:t xml:space="preserve">, </w:t>
      </w:r>
      <w:hyperlink r:id="rId13">
        <w:r>
          <w:rPr>
            <w:color w:val="0000EE"/>
            <w:u w:val="single"/>
          </w:rPr>
          <w:t>[4]</w:t>
        </w:r>
      </w:hyperlink>
      <w:r>
        <w:t xml:space="preserve">- Paragraph 3: </w:t>
      </w:r>
      <w:hyperlink r:id="rId14">
        <w:r>
          <w:rPr>
            <w:color w:val="0000EE"/>
            <w:u w:val="single"/>
          </w:rPr>
          <w:t>[7]</w:t>
        </w:r>
      </w:hyperlink>
      <w:r>
        <w:t xml:space="preserve">- Paragraph 4: </w:t>
      </w:r>
      <w:hyperlink r:id="rId9">
        <w:r>
          <w:rPr>
            <w:color w:val="0000EE"/>
            <w:u w:val="single"/>
          </w:rPr>
          <w:t>[1]</w:t>
        </w:r>
      </w:hyperlink>
      <w:r>
        <w:t xml:space="preserve">, </w:t>
      </w:r>
      <w:hyperlink r:id="rId15">
        <w:r>
          <w:rPr>
            <w:color w:val="0000EE"/>
            <w:u w:val="single"/>
          </w:rPr>
          <w:t>[3]</w:t>
        </w:r>
      </w:hyperlink>
      <w:r>
        <w:t xml:space="preserve">- Paragraph 5: </w:t>
      </w:r>
      <w:hyperlink r:id="rId9">
        <w:r>
          <w:rPr>
            <w:color w:val="0000EE"/>
            <w:u w:val="single"/>
          </w:rPr>
          <w:t>[1]</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https://labourlist.org/2026/08/letters-to-the-editor-week-ending-23-august-2026/</w:t>
        </w:r>
      </w:hyperlink>
      <w:r>
        <w:t xml:space="preserve"> - Please view link - unable to able to access data</w:t>
      </w:r>
      <w:r/>
    </w:p>
    <w:p>
      <w:pPr>
        <w:pStyle w:val="ListNumber"/>
        <w:spacing w:line="240" w:lineRule="auto"/>
        <w:ind w:left="720"/>
      </w:pPr>
      <w:r/>
      <w:hyperlink r:id="rId10">
        <w:r>
          <w:rPr>
            <w:color w:val="0000EE"/>
            <w:u w:val="single"/>
          </w:rPr>
          <w:t>https://www.cambridge.org/core/journals/contemporary-european-history/article/three-waves-of-social-markets-the-ordoliberal-variety-of-neoliberalism-in-the-united-kingdom-197297/63CA5727AA0F1DD0A7A9FEA702B888E3</w:t>
        </w:r>
      </w:hyperlink>
      <w:r>
        <w:t xml:space="preserve"> - This article examines the evolution of neoliberalism in the UK between 1972 and 1997, focusing on the ordoliberal variety. It discusses how the Labour Party, under Tony Blair, briefly embraced the stakeholder economy, aligning with ordoliberal principles that integrate market mechanisms with social objectives. Blair's interpretation aimed to balance market importance with societal needs, reflecting a nuanced approach to neoliberalism. However, this commitment was met with internal scepticism, and by the 1997 general election, the stakeholder economy terminology was abandoned, indicating a shift in the party's economic stance.</w:t>
      </w:r>
      <w:r/>
    </w:p>
    <w:p>
      <w:pPr>
        <w:pStyle w:val="ListNumber"/>
        <w:spacing w:line="240" w:lineRule="auto"/>
        <w:ind w:left="720"/>
      </w:pPr>
      <w:r/>
      <w:hyperlink r:id="rId15">
        <w:r>
          <w:rPr>
            <w:color w:val="0000EE"/>
            <w:u w:val="single"/>
          </w:rPr>
          <w:t>https://www.cambridge.org/core/journals/european-journal-of-political-research/article/who-is-a-populist-comparing-blair-and-macron-to-corbyn-and-melenchon/89345FCF1513B2BB47F9F6B91FA67A03</w:t>
        </w:r>
      </w:hyperlink>
      <w:r>
        <w:t xml:space="preserve"> - This comparative study analyses the political trajectories of Tony Blair and Emmanuel Macron, contrasting them with Jeremy Corbyn and Jean-Luc Mélenchon. It highlights how Blair's leadership from 1994 led the Labour Party to adopt neoliberal measures, including economic deregulation, privatization, and reduced trade union influence. The article underscores Blair's departure from traditional social-democratic policies, embracing a more individualistic and meritocratic worldview, which significantly reshaped the party's identity and policy direction during his tenure.</w:t>
      </w:r>
      <w:r/>
    </w:p>
    <w:p>
      <w:pPr>
        <w:pStyle w:val="ListNumber"/>
        <w:spacing w:line="240" w:lineRule="auto"/>
        <w:ind w:left="720"/>
      </w:pPr>
      <w:r/>
      <w:hyperlink r:id="rId13">
        <w:r>
          <w:rPr>
            <w:color w:val="0000EE"/>
            <w:u w:val="single"/>
          </w:rPr>
          <w:t>https://www.gov.scot/policies/economic-growth/scottish-national-investment-bank/</w:t>
        </w:r>
      </w:hyperlink>
      <w:r>
        <w:t xml:space="preserve"> - Established in November 2020, the Scottish National Investment Bank serves as Scotland's development investment bank, providing long-term investments to support sustainable economic growth. Operating commercially, it makes independent investment decisions and aims to address significant long-term challenges through its missions, including achieving a just transition to net-zero carbon emissions by 2045 and extending equality of opportunity by improving places by 2040. The Scottish Government committed up to £2 billion in capital funding over ten years to support these initiatives.</w:t>
      </w:r>
      <w:r/>
    </w:p>
    <w:p>
      <w:pPr>
        <w:pStyle w:val="ListNumber"/>
        <w:spacing w:line="240" w:lineRule="auto"/>
        <w:ind w:left="720"/>
      </w:pPr>
      <w:r/>
      <w:hyperlink r:id="rId12">
        <w:r>
          <w:rPr>
            <w:color w:val="0000EE"/>
            <w:u w:val="single"/>
          </w:rPr>
          <w:t>https://www.gov.wales/development-bank-wales</w:t>
        </w:r>
      </w:hyperlink>
      <w:r>
        <w:t xml:space="preserve"> - The Development Bank of Wales is a key financial institution supporting Welsh businesses at all stages, from startups to major infrastructure projects. It offers loans and equity investments, aiming to unlock growth by filling market gaps and leveraging private capital. The bank's mandate includes providing certainty to Welsh businesses regarding investment availability and focusing on sectors like sustainability, digitalisation, and high-value innovation. It operates as one of the UK's largest regional economic development banks, playing a crucial role in Wales' economic development.</w:t>
      </w:r>
      <w:r/>
    </w:p>
    <w:p>
      <w:pPr>
        <w:pStyle w:val="ListNumber"/>
        <w:spacing w:line="240" w:lineRule="auto"/>
        <w:ind w:left="720"/>
      </w:pPr>
      <w:r/>
      <w:hyperlink r:id="rId11">
        <w:r>
          <w:rPr>
            <w:color w:val="0000EE"/>
            <w:u w:val="single"/>
          </w:rPr>
          <w:t>https://www.cambridge.org/core/journals/international-affairs/article/blairs-project-in-retrospect/13655447/j.1468-2346.2004.00364.x.pdf</w:t>
        </w:r>
      </w:hyperlink>
      <w:r>
        <w:t xml:space="preserve"> - This retrospective analysis examines Tony Blair's 'New Labour' project, which aimed to blend free-market policies with social cohesion. The article argues that Blair's approach was more a continuation of Thatcherism than a departure from it, as it accepted the new economic settlement established by Thatcher. Blair's project sought to modernise social democracy by tempering free-market policies with a concern for social justice, positioning it as a variation of One Nation Toryism rather than a distinct social-democratic agenda.</w:t>
      </w:r>
      <w:r/>
    </w:p>
    <w:p>
      <w:pPr>
        <w:pStyle w:val="ListNumber"/>
        <w:spacing w:line="240" w:lineRule="auto"/>
        <w:ind w:left="720"/>
      </w:pPr>
      <w:r/>
      <w:hyperlink r:id="rId14">
        <w:r>
          <w:rPr>
            <w:color w:val="0000EE"/>
            <w:u w:val="single"/>
          </w:rPr>
          <w:t>https://journals.sagepub.com/doi/10.1111/j.1478-9302.2011.00230.x</w:t>
        </w:r>
      </w:hyperlink>
      <w:r>
        <w:t xml:space="preserve"> - This article assesses the legacy of New Labour, led by Tony Blair and Gordon Brown, focusing on its impact on British politics post-2007. It discusses how New Labour's policies, including market-driven economic growth and increased public service investment, led to significant electoral success. However, the article also highlights the challenges faced by the party, such as the faltering economy and sovereign debt crisis, and the electoral, ideational, and organisational problems that emerged in the aftermath of Blair and Brown's tenure.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abourlist.org/2026/08/letters-to-the-editor-week-ending-23-august-2026/" TargetMode="External"/><Relationship Id="rId10" Type="http://schemas.openxmlformats.org/officeDocument/2006/relationships/hyperlink" Target="https://www.cambridge.org/core/journals/contemporary-european-history/article/three-waves-of-social-markets-the-ordoliberal-variety-of-neoliberalism-in-the-united-kingdom-197297/63CA5727AA0F1DD0A7A9FEA702B888E3" TargetMode="External"/><Relationship Id="rId11" Type="http://schemas.openxmlformats.org/officeDocument/2006/relationships/hyperlink" Target="https://www.cambridge.org/core/journals/international-affairs/article/blairs-project-in-retrospect/13655447/j.1468-2346.2004.00364.x.pdf" TargetMode="External"/><Relationship Id="rId12" Type="http://schemas.openxmlformats.org/officeDocument/2006/relationships/hyperlink" Target="https://www.gov.wales/development-bank-wales" TargetMode="External"/><Relationship Id="rId13" Type="http://schemas.openxmlformats.org/officeDocument/2006/relationships/hyperlink" Target="https://www.gov.scot/policies/economic-growth/scottish-national-investment-bank/" TargetMode="External"/><Relationship Id="rId14" Type="http://schemas.openxmlformats.org/officeDocument/2006/relationships/hyperlink" Target="https://journals.sagepub.com/doi/10.1111/j.1478-9302.2011.00230.x" TargetMode="External"/><Relationship Id="rId15" Type="http://schemas.openxmlformats.org/officeDocument/2006/relationships/hyperlink" Target="https://www.cambridge.org/core/journals/european-journal-of-political-research/article/who-is-a-populist-comparing-blair-and-macron-to-corbyn-and-melenchon/89345FCF1513B2BB47F9F6B91FA67A0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