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on Why the Transgender Movement Lost Momentum and What It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attention to a shifting debate: activists who once pushed sweeping transgender legal changes are now arguing defensively, and that matters because the legal and cultural terrain for sports, education and medicine is changing fast. Here’s what’s happened, who’s reacting, and how to think about the choices ahead.</w:t>
      </w:r>
      <w:r/>
    </w:p>
    <w:p>
      <w:r/>
      <w:r>
        <w:t>Essential Takeaways</w:t>
      </w:r>
      <w:r/>
      <w:r/>
    </w:p>
    <w:p>
      <w:pPr>
        <w:pStyle w:val="ListBullet"/>
        <w:spacing w:line="240" w:lineRule="auto"/>
        <w:ind w:left="720"/>
      </w:pPr>
      <w:r/>
      <w:r>
        <w:rPr>
          <w:b/>
        </w:rPr>
        <w:t>Tactical retreat:</w:t>
      </w:r>
      <w:r>
        <w:t xml:space="preserve"> Transgender advocates have shifted from maximalist claims to narrower legal arguments, conceding some fairness or medical uncertainty concerns.</w:t>
      </w:r>
      <w:r/>
    </w:p>
    <w:p>
      <w:pPr>
        <w:pStyle w:val="ListBullet"/>
        <w:spacing w:line="240" w:lineRule="auto"/>
        <w:ind w:left="720"/>
      </w:pPr>
      <w:r/>
      <w:r>
        <w:rPr>
          <w:b/>
        </w:rPr>
        <w:t>High-profile cracks:</w:t>
      </w:r>
      <w:r>
        <w:t xml:space="preserve"> Public disagreements from figures like Martina Navratilova and J.K. Rowling signalled dissension that cost the movement allies and cultural cover.</w:t>
      </w:r>
      <w:r/>
    </w:p>
    <w:p>
      <w:pPr>
        <w:pStyle w:val="ListBullet"/>
        <w:spacing w:line="240" w:lineRule="auto"/>
        <w:ind w:left="720"/>
      </w:pPr>
      <w:r/>
      <w:r>
        <w:rPr>
          <w:b/>
        </w:rPr>
        <w:t>Legal flashpoints:</w:t>
      </w:r>
      <w:r>
        <w:t xml:space="preserve"> Cases about transgender participation in women’s sports and medical practices have prompted courts to allow more scrutiny and state-level limits.</w:t>
      </w:r>
      <w:r/>
    </w:p>
    <w:p>
      <w:pPr>
        <w:pStyle w:val="ListBullet"/>
        <w:spacing w:line="240" w:lineRule="auto"/>
        <w:ind w:left="720"/>
      </w:pPr>
      <w:r/>
      <w:r>
        <w:rPr>
          <w:b/>
        </w:rPr>
        <w:t>Public impact:</w:t>
      </w:r>
      <w:r>
        <w:t xml:space="preserve"> The debate now centres on balancing inclusion with fairness and safety, and everyday institutions, from schools to hospitals, are adapting policies.</w:t>
      </w:r>
      <w:r/>
    </w:p>
    <w:p>
      <w:pPr>
        <w:pStyle w:val="ListBullet"/>
        <w:spacing w:line="240" w:lineRule="auto"/>
        <w:ind w:left="720"/>
      </w:pPr>
      <w:r/>
      <w:r>
        <w:rPr>
          <w:b/>
        </w:rPr>
        <w:t>Practical reality:</w:t>
      </w:r>
      <w:r>
        <w:t xml:space="preserve"> If you’re a parent, coach or clinician, expect clearer guidance and more state-level rules; prepare to document needs and check local law.</w:t>
      </w:r>
      <w:r/>
      <w:r/>
    </w:p>
    <w:p>
      <w:pPr>
        <w:pStyle w:val="Heading2"/>
      </w:pPr>
      <w:r>
        <w:t>What changed: from cultural dominance to defensive lawyering</w:t>
      </w:r>
      <w:r/>
    </w:p>
    <w:p>
      <w:r/>
      <w:r>
        <w:t>The clearest sign of a sea change is rhetorical. Where once the mantra was categorical, insistence on identity claims without qualification, legal briefs are now making more modest points about medical interventions or specific fairness concerns. That shift feels tangible; the tone is less triumphalist, more hedged and defensive. According to coverage of recent Supreme Court fights, advocates and organisations have begun framing their positions as reasonable responses to uncertainty rather than undisputed truths. For readers, that means the legal fights you hear about aren’t purely academic, courts are grappling with trade-offs that affect schools, sports teams and clinics.</w:t>
      </w:r>
      <w:r/>
    </w:p>
    <w:p>
      <w:pPr>
        <w:pStyle w:val="Heading2"/>
      </w:pPr>
      <w:r>
        <w:t>Courts and cases: sports as the new battleground</w:t>
      </w:r>
      <w:r/>
    </w:p>
    <w:p>
      <w:r/>
      <w:r>
        <w:t>Sports cases have become the emblematic dispute because fairness is a clear, sensory concern, people can see physical differences and question competitive equity. Reporting and legal analysis show the Supreme Court and lower courts treating fairness claims seriously, and some advocacy groups that previously pressed for broad recognition have narrowed their arguments in litigation. That matters because rulings on athletics often spill into other settings: if courts permit state rules limiting participation, expect similar scrutiny in education and health policy. Coaches, school leaders and sporting bodies should review eligibility rules now and consult legal counsel when policy changes hit.</w:t>
      </w:r>
      <w:r/>
    </w:p>
    <w:p>
      <w:pPr>
        <w:pStyle w:val="Heading2"/>
      </w:pPr>
      <w:r>
        <w:t>Medical uncertainty: standards under the microscope</w:t>
      </w:r>
      <w:r/>
    </w:p>
    <w:p>
      <w:r/>
      <w:r>
        <w:t>Clinical guidance that was once presented as settled has been reassessed as a matter of “medical and scientific uncertainty” in some legal filings. Professional associations and advocacy groups have faced pressure to defend standards of care while acknowledging differing expert views. Practically, this means doctors and clinic managers should keep meticulous records, follow updated consensus statements, and explain risks clearly to patients and families. For parents, it’s a reminder to ask clinicians about evidence, alternatives and long‑term follow‑up before major interventions.</w:t>
      </w:r>
      <w:r/>
    </w:p>
    <w:p>
      <w:pPr>
        <w:pStyle w:val="Heading2"/>
      </w:pPr>
      <w:r>
        <w:t>Cultural cracks and the loss of supply lines</w:t>
      </w:r>
      <w:r/>
    </w:p>
    <w:p>
      <w:r/>
      <w:r>
        <w:t>Public figures who broke with activist orthodoxy helped change the conversation. When prominent voices questioned previous consensus positions, corporate and cultural allies reconsidered their stances, and the movement lost some of its “permission” to silence dissent. That dynamic has political and legal effects: judges and policymakers are less likely to treat dissent as taboo, and debates that would once have been settled in boardrooms or campus offices are now open in courts and legislatures. For anyone engaged in campus life, faith communities, or workplaces, expect more open and sometimes heated local discussion.</w:t>
      </w:r>
      <w:r/>
    </w:p>
    <w:p>
      <w:pPr>
        <w:pStyle w:val="Heading2"/>
      </w:pPr>
      <w:r>
        <w:t>What this means day-to-day , practical tips</w:t>
      </w:r>
      <w:r/>
    </w:p>
    <w:p>
      <w:r/>
      <w:r>
        <w:t>If you’re a parent, check school policies early in the year and attend meetings to understand changes. If you coach, set transparent, fairness‑focused selection criteria and consult your governing body. If you work in health care, document informed consent carefully and stay current with professional guidance. And if you’re simply watching the debate, bear in mind that the legal landscape is patchwork: state rules will vary, and national guidance may shift after major court decisions.</w:t>
      </w:r>
      <w:r/>
    </w:p>
    <w:p>
      <w:r/>
      <w:r>
        <w:t>It’s a small change that can make a big difference in how institutions balance rights, safety and fairness.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1">
        <w:r>
          <w:rPr>
            <w:color w:val="0000EE"/>
            <w:u w:val="single"/>
          </w:rPr>
          <w:t>[4]</w:t>
        </w:r>
      </w:hyperlink>
      <w:r>
        <w:t xml:space="preserve">, </w:t>
      </w:r>
      <w:hyperlink r:id="rId14">
        <w:r>
          <w:rPr>
            <w:color w:val="0000EE"/>
            <w:u w:val="single"/>
          </w:rPr>
          <w:t>[5]</w:t>
        </w:r>
      </w:hyperlink>
      <w:r>
        <w:t xml:space="preserve">- Paragraph 4: </w:t>
      </w:r>
      <w:hyperlink r:id="rId10">
        <w:r>
          <w:rPr>
            <w:color w:val="0000EE"/>
            <w:u w:val="single"/>
          </w:rPr>
          <w:t>[2]</w:t>
        </w:r>
      </w:hyperlink>
      <w:r>
        <w:t xml:space="preserve">, </w:t>
      </w:r>
      <w:hyperlink r:id="rId9">
        <w:r>
          <w:rPr>
            <w:color w:val="0000EE"/>
            <w:u w:val="single"/>
          </w:rPr>
          <w:t>[7]</w:t>
        </w:r>
      </w:hyperlink>
      <w:r>
        <w:t xml:space="preserve">- Paragraph 5: </w:t>
      </w:r>
      <w:hyperlink r:id="rId14">
        <w:r>
          <w:rPr>
            <w:color w:val="0000EE"/>
            <w:u w:val="single"/>
          </w:rPr>
          <w:t>[5]</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https://www.dailysignal.com/2026/08/23/how-transgender-movement-lost-power-end-debate/</w:t>
        </w:r>
      </w:hyperlink>
      <w:r>
        <w:t xml:space="preserve"> - Please view link - unable to able to access data</w:t>
      </w:r>
      <w:r/>
    </w:p>
    <w:p>
      <w:pPr>
        <w:pStyle w:val="ListNumber"/>
        <w:spacing w:line="240" w:lineRule="auto"/>
        <w:ind w:left="720"/>
      </w:pPr>
      <w:r/>
      <w:hyperlink r:id="rId10">
        <w:r>
          <w:rPr>
            <w:color w:val="0000EE"/>
            <w:u w:val="single"/>
          </w:rPr>
          <w:t>https://www.axios.com/2026/06/30/supreme-court-transgender-sports-ban-ruling</w:t>
        </w:r>
      </w:hyperlink>
      <w:r>
        <w:t xml:space="preserve"> - On June 30, 2026, the U.S. Supreme Court ruled that states can ban transgender girls from participating in girls' school sports teams, marking a significant legal victory for conservative-led efforts to limit transgender rights. The decision in West Virginia v. B.P.J. determined that such state bans do not violate Title IX or the Equal Protection Clause of the Constitution. The case centered around 16-year-old Becky Pepper-Jackson, who challenged the West Virginia law after it was enacted just before she began sixth grade.</w:t>
      </w:r>
      <w:r/>
    </w:p>
    <w:p>
      <w:pPr>
        <w:pStyle w:val="ListNumber"/>
        <w:spacing w:line="240" w:lineRule="auto"/>
        <w:ind w:left="720"/>
      </w:pPr>
      <w:r/>
      <w:hyperlink r:id="rId12">
        <w:r>
          <w:rPr>
            <w:color w:val="0000EE"/>
            <w:u w:val="single"/>
          </w:rPr>
          <w:t>https://www.theatlantic.com/ideas/2026/07/supreme-court-trans-student-athletes-womens-sports/687767/?utm_source=apple_news</w:t>
        </w:r>
      </w:hyperlink>
      <w:r>
        <w:t xml:space="preserve"> - The Supreme Court's ruling in West Virginia v. B.P.J. upheld state laws that define participation in men's and women's sports based on biological sex rather than gender identity. The 6–3 decision emphasised the legitimacy of maintaining fair competition in women’s sports under Title IX by excluding individuals born male, including transgender girls, from female athletic events. The Court differentiated between this verdict and broader anti-discrimination rulings such as Bostock v. Clayton County, stressing that sports involve unique physical considerations.</w:t>
      </w:r>
      <w:r/>
    </w:p>
    <w:p>
      <w:pPr>
        <w:pStyle w:val="ListNumber"/>
        <w:spacing w:line="240" w:lineRule="auto"/>
        <w:ind w:left="720"/>
      </w:pPr>
      <w:r/>
      <w:hyperlink r:id="rId11">
        <w:r>
          <w:rPr>
            <w:color w:val="0000EE"/>
            <w:u w:val="single"/>
          </w:rPr>
          <w:t>https://www.aclu.org/news/lgbtq-rights/whats-at-stake-as-the-supreme-court-takes-up-transgender-sports-bans</w:t>
        </w:r>
      </w:hyperlink>
      <w:r>
        <w:t xml:space="preserve"> - The American Civil Liberties Union (ACLU) discusses the implications of the Supreme Court's consideration of transgender sports bans in cases like West Virginia v. B.P.J. and Little v. Hecox. The ACLU highlights the potential impact on Title IX and civil rights protections for transgender youth, emphasising the importance of these cases in shaping the future of transgender rights in sports and education.</w:t>
      </w:r>
      <w:r/>
    </w:p>
    <w:p>
      <w:pPr>
        <w:pStyle w:val="ListNumber"/>
        <w:spacing w:line="240" w:lineRule="auto"/>
        <w:ind w:left="720"/>
      </w:pPr>
      <w:r/>
      <w:hyperlink r:id="rId14">
        <w:r>
          <w:rPr>
            <w:color w:val="0000EE"/>
            <w:u w:val="single"/>
          </w:rPr>
          <w:t>https://www.hrc.org/press-releases/supreme-court-allows-states-to-exclude-transgender-athletes-from-school-sports-at-the-expense-of-all-women-and-girls-leaving-the-future-of-anti-discrimination-protections-at-risk</w:t>
        </w:r>
      </w:hyperlink>
      <w:r>
        <w:t xml:space="preserve"> - The Human Rights Campaign (HRC) expresses disappointment over the Supreme Court's ruling in West Virginia v. B.P.J. and Little v. Hecox, which upheld state laws banning transgender girls and women from participating in school athletic teams designated for females. The HRC argues that these bans are discriminatory and put the future of anti-discrimination protections at risk, highlighting the broader implications for transgender rights.</w:t>
      </w:r>
      <w:r/>
    </w:p>
    <w:p>
      <w:pPr>
        <w:pStyle w:val="ListNumber"/>
        <w:spacing w:line="240" w:lineRule="auto"/>
        <w:ind w:left="720"/>
      </w:pPr>
      <w:r/>
      <w:hyperlink r:id="rId13">
        <w:r>
          <w:rPr>
            <w:color w:val="0000EE"/>
            <w:u w:val="single"/>
          </w:rPr>
          <w:t>https://www.civitasinstitute.org/research/the-constitution-does-not-protect-transgender-athletes</w:t>
        </w:r>
      </w:hyperlink>
      <w:r>
        <w:t xml:space="preserve"> - Richard Epstein argues that the Constitution does not protect transgender athletes, referencing the Supreme Court's decision in West Virginia v. B.P.J. He contends that the term 'sex' in Title IX refers to biological sex, and that state laws banning transgender athletes from participating in sports teams corresponding to their gender identity are constitutional.</w:t>
      </w:r>
      <w:r/>
    </w:p>
    <w:p>
      <w:pPr>
        <w:pStyle w:val="ListNumber"/>
        <w:spacing w:line="240" w:lineRule="auto"/>
        <w:ind w:left="720"/>
      </w:pPr>
      <w:r/>
      <w:hyperlink r:id="rId9">
        <w:r>
          <w:rPr>
            <w:color w:val="0000EE"/>
            <w:u w:val="single"/>
          </w:rPr>
          <w:t>https://www.dailysignal.com/2026/08/23/how-transgender-movement-lost-power-end-debate/</w:t>
        </w:r>
      </w:hyperlink>
      <w:r>
        <w:t xml:space="preserve"> - An article discussing the shift in transgender activists' legal strategies from aggressive promotion to defensive arguments. It highlights cases like West Virginia v. B.P.J., where the ACLU conceded the legitimacy of fairness concerns in sports, marking a retreat from previous maximalist claims. The article also notes the World Professional Association for Transgender Health's statement on medical uncertainty in transgender health standards, reflecting a change in the movement's approach.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signal.com/2026/08/23/how-transgender-movement-lost-power-end-debate/" TargetMode="External"/><Relationship Id="rId10" Type="http://schemas.openxmlformats.org/officeDocument/2006/relationships/hyperlink" Target="https://www.axios.com/2026/06/30/supreme-court-transgender-sports-ban-ruling" TargetMode="External"/><Relationship Id="rId11" Type="http://schemas.openxmlformats.org/officeDocument/2006/relationships/hyperlink" Target="https://www.aclu.org/news/lgbtq-rights/whats-at-stake-as-the-supreme-court-takes-up-transgender-sports-bans" TargetMode="External"/><Relationship Id="rId12" Type="http://schemas.openxmlformats.org/officeDocument/2006/relationships/hyperlink" Target="https://www.theatlantic.com/ideas/2026/07/supreme-court-trans-student-athletes-womens-sports/687767/?utm_source=apple_news" TargetMode="External"/><Relationship Id="rId13" Type="http://schemas.openxmlformats.org/officeDocument/2006/relationships/hyperlink" Target="https://www.civitasinstitute.org/research/the-constitution-does-not-protect-transgender-athletes" TargetMode="External"/><Relationship Id="rId14" Type="http://schemas.openxmlformats.org/officeDocument/2006/relationships/hyperlink" Target="https://www.hrc.org/press-releases/supreme-court-allows-states-to-exclude-transgender-athletes-from-school-sports-at-the-expense-of-all-women-and-girls-leaving-the-future-of-anti-discrimination-protections-at-ris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