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Coming Out Twice: Lessons from One Writer’s Return to Truth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a second, self-chosen coming out can change everything , a personal story from Delhi to the US shows why owning your truth feels different the second time around, who needs time to process it, and practical ways to make these conversations safer and clearer.</w:t>
      </w:r>
      <w:r/>
    </w:p>
    <w:p>
      <w:r/>
      <w:r>
        <w:t>Essential Takeaways</w:t>
      </w:r>
      <w:r/>
      <w:r/>
    </w:p>
    <w:p>
      <w:pPr>
        <w:pStyle w:val="ListBullet"/>
        <w:spacing w:line="240" w:lineRule="auto"/>
        <w:ind w:left="720"/>
      </w:pPr>
      <w:r/>
      <w:r>
        <w:rPr>
          <w:b/>
        </w:rPr>
        <w:t>Two very different moments:</w:t>
      </w:r>
      <w:r>
        <w:t xml:space="preserve"> an exposure forced by someone else can feel like betrayal; coming out on your own terms brings agency and calm.</w:t>
      </w:r>
      <w:r/>
    </w:p>
    <w:p>
      <w:pPr>
        <w:pStyle w:val="ListBullet"/>
        <w:spacing w:line="240" w:lineRule="auto"/>
        <w:ind w:left="720"/>
      </w:pPr>
      <w:r/>
      <w:r>
        <w:rPr>
          <w:b/>
        </w:rPr>
        <w:t>Silence is a language:</w:t>
      </w:r>
      <w:r>
        <w:t xml:space="preserve"> parents may not react loudly, but quiet can mean confusion, fear, or time needed to understand.</w:t>
      </w:r>
      <w:r/>
    </w:p>
    <w:p>
      <w:pPr>
        <w:pStyle w:val="ListBullet"/>
        <w:spacing w:line="240" w:lineRule="auto"/>
        <w:ind w:left="720"/>
      </w:pPr>
      <w:r/>
      <w:r>
        <w:rPr>
          <w:b/>
        </w:rPr>
        <w:t>Distance helps:</w:t>
      </w:r>
      <w:r>
        <w:t xml:space="preserve"> living away can give perspective and space to gather strength before you speak.</w:t>
      </w:r>
      <w:r/>
    </w:p>
    <w:p>
      <w:pPr>
        <w:pStyle w:val="ListBullet"/>
        <w:spacing w:line="240" w:lineRule="auto"/>
        <w:ind w:left="720"/>
      </w:pPr>
      <w:r/>
      <w:r>
        <w:rPr>
          <w:b/>
        </w:rPr>
        <w:t>Practical prep matters:</w:t>
      </w:r>
      <w:r>
        <w:t xml:space="preserve"> choosing timing, having answers ready, and naming support people can ease the conversation.</w:t>
      </w:r>
      <w:r/>
    </w:p>
    <w:p>
      <w:pPr>
        <w:pStyle w:val="ListBullet"/>
        <w:spacing w:line="240" w:lineRule="auto"/>
        <w:ind w:left="720"/>
      </w:pPr>
      <w:r/>
      <w:r>
        <w:rPr>
          <w:b/>
        </w:rPr>
        <w:t>It’s layered, not instant:</w:t>
      </w:r>
      <w:r>
        <w:t xml:space="preserve"> coming out can happen in stages , the first reveal isn’t always the final one.</w:t>
      </w:r>
      <w:r/>
      <w:r/>
    </w:p>
    <w:p>
      <w:pPr>
        <w:pStyle w:val="Heading2"/>
      </w:pPr>
      <w:r>
        <w:t>A forced reveal and the strange hush that follows</w:t>
      </w:r>
      <w:r/>
    </w:p>
    <w:p>
      <w:r/>
      <w:r>
        <w:t>The first coming out in this story wasn’t a choice; it was a sudden unmasking that arrived at a gate in Delhi, heavy with sweat and cumin-scented air. That betrayal , someone taking your secret and telling it to your family , makes ordinary things feel precarious, and often the initial response is stunned silence rather than drama. According to Time and commentary on India’s queer history, reactions like these often come from fear and confusion more than malice. For anyone who's been exposed, the immediate task is survival: hold the space, notice the small signs, and tend to your safety.</w:t>
      </w:r>
      <w:r/>
    </w:p>
    <w:p>
      <w:pPr>
        <w:pStyle w:val="Heading2"/>
      </w:pPr>
      <w:r>
        <w:t>Why the second coming out felt different</w:t>
      </w:r>
      <w:r/>
    </w:p>
    <w:p>
      <w:r/>
      <w:r>
        <w:t>Years later, after time abroad and personal growth, the writer chose to speak for himself. This second confession arrived calm and deliberate; the words belonged to him. Distance afforded perspective, and seeing others live openly helped him imagine a different life. Legal and social shifts , like India’s later decriminalisation of Section 377 , have changed the backdrop for queer lives, but personal readiness remains crucial. If you’re preparing to tell a family member, practise the phrasing you want to use; that ownership can change the tone of the whole exchange.</w:t>
      </w:r>
      <w:r/>
    </w:p>
    <w:p>
      <w:pPr>
        <w:pStyle w:val="Heading2"/>
      </w:pPr>
      <w:r>
        <w:t>The quiet parents and what silence can mean</w:t>
      </w:r>
      <w:r/>
    </w:p>
    <w:p>
      <w:r/>
      <w:r>
        <w:t>Silence doesn’t equal rejection. In many families, parents need time to translate unfamiliar language into something they understand. Feminism in India and other grassroots reflections note that older generations often lack vocabulary and models for queer life; their stillness can be confusion, not closure. When your family goes quiet, try small follow-ups: invite questions, offer resources, or ask if they want time. Normalising the fact that this is a process helps everyone lower their guard.</w:t>
      </w:r>
      <w:r/>
    </w:p>
    <w:p>
      <w:pPr>
        <w:pStyle w:val="Heading2"/>
      </w:pPr>
      <w:r>
        <w:t>How to prepare: timing, supports, and practical answers</w:t>
      </w:r>
      <w:r/>
    </w:p>
    <w:p>
      <w:r/>
      <w:r>
        <w:t>Choose a moment when you can be present and safe. Practical prep helps: decide whether to have a friend on call, bring printed resources explaining identity if needed, or suggest a counsellor or support group. Organisations and initiatives working with LGBTQ+ communities offer materials and conversation guides that can turn bewilderment into understanding. If you fear backlash, plan exit strategies or temporary space elsewhere. Small details like having a trusted sibling nearby or saying where you’ll stay that night can make the conversation less risky.</w:t>
      </w:r>
      <w:r/>
    </w:p>
    <w:p>
      <w:pPr>
        <w:pStyle w:val="Heading2"/>
      </w:pPr>
      <w:r>
        <w:t>Coming out as layers, not a single event</w:t>
      </w:r>
      <w:r/>
    </w:p>
    <w:p>
      <w:r/>
      <w:r>
        <w:t>This story shows coming out as an unfolding journey: a forced reveal, a silence-filled middle, and a later, deliberate declaration. Legal change, community support, and personal growth all play parts, but so does time. Be patient with yourself and with your family; the “final” coming out may take place over years and many small talks. And remember: choosing when and how to speak gives power back to you , a simple truth that can reshape relationships.</w:t>
      </w:r>
      <w:r/>
    </w:p>
    <w:p>
      <w:r/>
      <w:r>
        <w:t>It's a small change that can make every conversation steadier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[3]</w:t>
        </w:r>
      </w:hyperlink>
      <w:r>
        <w:t xml:space="preserve">- Paragraph 4: </w:t>
      </w:r>
      <w:hyperlink r:id="rId14">
        <w:r>
          <w:rPr>
            <w:color w:val="0000EE"/>
            <w:u w:val="single"/>
          </w:rPr>
          <w:t>[3]</w:t>
        </w:r>
      </w:hyperlink>
      <w:r>
        <w:t xml:space="preserve">, </w:t>
      </w:r>
      <w:hyperlink r:id="rId13">
        <w:r>
          <w:rPr>
            <w:color w:val="0000EE"/>
            <w:u w:val="single"/>
          </w:rPr>
          <w:t>[6]</w:t>
        </w:r>
      </w:hyperlink>
      <w:r>
        <w:t xml:space="preserve">- Paragraph 5: </w:t>
      </w:r>
      <w:hyperlink r:id="rId12">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https://glreview.org/i-came-out-twice-the-second-time-i-chose-it/</w:t>
        </w:r>
      </w:hyperlink>
      <w:r>
        <w:t xml:space="preserve"> - Please view link - unable to able to access data</w:t>
      </w:r>
      <w:r/>
    </w:p>
    <w:p>
      <w:pPr>
        <w:pStyle w:val="ListNumber"/>
        <w:spacing w:line="240" w:lineRule="auto"/>
        <w:ind w:left="720"/>
      </w:pPr>
      <w:r/>
      <w:hyperlink r:id="rId10">
        <w:r>
          <w:rPr>
            <w:color w:val="0000EE"/>
            <w:u w:val="single"/>
          </w:rPr>
          <w:t>https://time.com/5388231/india-decriminalizes-homosexuality-section-377/</w:t>
        </w:r>
      </w:hyperlink>
      <w:r>
        <w:t xml:space="preserve"> - In September 2018, India's Supreme Court decriminalised consensual gay sex by overturning Section 377, a colonial-era law that criminalised it. The unanimous decision affirmed that the LGBTQ community has the same fundamental rights as all citizens. Chief Justice Dipak Misra stated, 'The identity of a person is very important and we have to vanquish prejudice, embrace inclusion and ensure equal rights.' This landmark ruling was expected to encourage more people to come out and seek justice if harassed, aiming to reduce stigma around HIV/AIDS and improve access to medical care. However, challenges remain, particularly in rural areas where homosexuality is viewed as a disease. Future efforts focus on marriage equality and property rights, with activists stressing the importance of remaining vigilant to prevent any reversal of this progress.</w:t>
      </w:r>
      <w:r/>
    </w:p>
    <w:p>
      <w:pPr>
        <w:pStyle w:val="ListNumber"/>
        <w:spacing w:line="240" w:lineRule="auto"/>
        <w:ind w:left="720"/>
      </w:pPr>
      <w:r/>
      <w:hyperlink r:id="rId14">
        <w:r>
          <w:rPr>
            <w:color w:val="0000EE"/>
            <w:u w:val="single"/>
          </w:rPr>
          <w:t>https://lgbtq.co.in/initiatives/</w:t>
        </w:r>
      </w:hyperlink>
      <w:r>
        <w:t xml:space="preserve"> - Mist LGBTQ Foundation organises annual events like Indian Coming Out Day to celebrate the decriminalisation of Section 377. On this day, they release colourful balloons symbolising the fight for freedom to love and equality. Mist collaborates with various local organisations to bring this event to multiple cities. Additionally, they host the Queer and Allies Art Festival, which brings together artists, craftspeople, and performers from across India to showcase the talent and artistry of the LGBTQ community and its allies. The festival features performances, films, and art installations in various cities, promoting inclusivity and visibility.</w:t>
      </w:r>
      <w:r/>
    </w:p>
    <w:p>
      <w:pPr>
        <w:pStyle w:val="ListNumber"/>
        <w:spacing w:line="240" w:lineRule="auto"/>
        <w:ind w:left="720"/>
      </w:pPr>
      <w:r/>
      <w:hyperlink r:id="rId11">
        <w:r>
          <w:rPr>
            <w:color w:val="0000EE"/>
            <w:u w:val="single"/>
          </w:rPr>
          <w:t>https://feminisminindia.com/2018/07/12/queer-indians-experience-section-377/</w:t>
        </w:r>
      </w:hyperlink>
      <w:r>
        <w:t xml:space="preserve"> - Queer Indians have shared their experiences with Section 377, highlighting its impact on their lives. Aakash Rawat, a student and activist, noted that the law has been used to threaten, intimidate, and harass LGBTQ individuals. Dharmesh, a volunteer at Resistive Alliance for Queer Solidarity, Allahabad, mentioned that homophobia extends beyond the statute, leading to humiliation and violence. Priyanjali from Kolkata expressed that the 2013 verdict confirmed misguided beliefs about homosexuality, making it difficult for queer individuals to express their identity openly. These testimonies underscore the challenges faced by the LGBTQ community due to the existence of Section 377.</w:t>
      </w:r>
      <w:r/>
    </w:p>
    <w:p>
      <w:pPr>
        <w:pStyle w:val="ListNumber"/>
        <w:spacing w:line="240" w:lineRule="auto"/>
        <w:ind w:left="720"/>
      </w:pPr>
      <w:r/>
      <w:hyperlink r:id="rId12">
        <w:r>
          <w:rPr>
            <w:color w:val="0000EE"/>
            <w:u w:val="single"/>
          </w:rPr>
          <w:t>https://www.legalserviceindia.com/Legal-Articles/beyond-the-law-lgbtq-lives-in-contemporary-india/</w:t>
        </w:r>
      </w:hyperlink>
      <w:r>
        <w:t xml:space="preserve"> - The decriminalisation of homosexuality in 2018 marked a significant milestone for LGBTQ+ rights in India. However, true visibility and acceptance require more than legal reform. The lived experiences of LGBTQ+ individuals reveal ongoing challenges in family acceptance, workplace environments, and societal attitudes. The article discusses the importance of anti-discrimination laws and comprehensive social transformation to break patriarchal structures and provide freedom to sexual minority women. It also highlights the need for education and affirmative care training for healthcare professionals to support the LGBTQ+ community effectively.</w:t>
      </w:r>
      <w:r/>
    </w:p>
    <w:p>
      <w:pPr>
        <w:pStyle w:val="ListNumber"/>
        <w:spacing w:line="240" w:lineRule="auto"/>
        <w:ind w:left="720"/>
      </w:pPr>
      <w:r/>
      <w:hyperlink r:id="rId13">
        <w:r>
          <w:rPr>
            <w:color w:val="0000EE"/>
            <w:u w:val="single"/>
          </w:rPr>
          <w:t>https://sociology.institute/sociology-of-gender/india-queer-movement-origins-key-moments/</w:t>
        </w:r>
      </w:hyperlink>
      <w:r>
        <w:t xml:space="preserve"> - India's queer movement has evolved over decades, marked by significant acts of resistance and community-building. In 1986, journalist Ashok Row Kavi publicly came out, challenging societal and legal taboos. Four years later, he co-founded 'Bombay Dost,' India's first registered magazine for the LGBTQ+ community, serving as a safe space and platform for discourse. The movement gained momentum with legal challenges like the Naz Foundation's PIL in 1994 and cultural activism through film, art, and literature in the 1990s. The first Pride Walk in Kolkata in 1999 was a pivotal moment, symbolising the community's resilience and demand for rights.</w:t>
      </w:r>
      <w:r/>
    </w:p>
    <w:p>
      <w:pPr>
        <w:pStyle w:val="ListNumber"/>
        <w:spacing w:line="240" w:lineRule="auto"/>
        <w:ind w:left="720"/>
      </w:pPr>
      <w:r/>
      <w:hyperlink r:id="rId15">
        <w:r>
          <w:rPr>
            <w:color w:val="0000EE"/>
            <w:u w:val="single"/>
          </w:rPr>
          <w:t>https://en.wikipedia.org/wiki/Section_377</w:t>
        </w:r>
      </w:hyperlink>
      <w:r>
        <w:t xml:space="preserve"> - Section 377 of the Indian Penal Code, introduced during British colonial rule in 1861, criminalised 'carnal intercourse against the order of nature,' effectively targeting homosexual acts. The law remained a tool for harassment and discrimination against the LGBTQ+ community. In 2001, the Naz Foundation filed a public interest litigation seeking the decriminalisation of homosexual intercourse between consenting adults. After prolonged legal battles, the Delhi High Court decriminalised consensual gay sex in 2009. However, the Supreme Court reinstated the law in 2013, leading to widespread protests and calls for reform. The law was finally decriminalised in 2018, marking a significant victory for LGBTQ+ rights in India.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review.org/i-came-out-twice-the-second-time-i-chose-it/" TargetMode="External"/><Relationship Id="rId10" Type="http://schemas.openxmlformats.org/officeDocument/2006/relationships/hyperlink" Target="https://time.com/5388231/india-decriminalizes-homosexuality-section-377/" TargetMode="External"/><Relationship Id="rId11" Type="http://schemas.openxmlformats.org/officeDocument/2006/relationships/hyperlink" Target="https://feminisminindia.com/2018/07/12/queer-indians-experience-section-377/" TargetMode="External"/><Relationship Id="rId12" Type="http://schemas.openxmlformats.org/officeDocument/2006/relationships/hyperlink" Target="https://www.legalserviceindia.com/Legal-Articles/beyond-the-law-lgbtq-lives-in-contemporary-india/" TargetMode="External"/><Relationship Id="rId13" Type="http://schemas.openxmlformats.org/officeDocument/2006/relationships/hyperlink" Target="https://sociology.institute/sociology-of-gender/india-queer-movement-origins-key-moments/" TargetMode="External"/><Relationship Id="rId14" Type="http://schemas.openxmlformats.org/officeDocument/2006/relationships/hyperlink" Target="https://lgbtq.co.in/initiatives/" TargetMode="External"/><Relationship Id="rId15" Type="http://schemas.openxmlformats.org/officeDocument/2006/relationships/hyperlink" Target="https://en.wikipedia.org/wiki/Section_37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