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Hold Conviction Without Contempt in Church 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quicker tempers flare in pews and comment threads; churchgoers and leaders are learning that holding firm beliefs needn’t mean dehumanising those who disagree. Across dioceses, this approach matters because it preserves relationships, witness, and the soul-shaping work of faith.</w:t>
      </w:r>
      <w:r/>
    </w:p>
    <w:p>
      <w:r/>
      <w:r>
        <w:t>Essential Takeaways</w:t>
      </w:r>
      <w:r/>
      <w:r/>
    </w:p>
    <w:p>
      <w:pPr>
        <w:pStyle w:val="ListBullet"/>
        <w:spacing w:line="240" w:lineRule="auto"/>
        <w:ind w:left="720"/>
      </w:pPr>
      <w:r/>
      <w:r>
        <w:rPr>
          <w:b/>
        </w:rPr>
        <w:t>Humility matters:</w:t>
      </w:r>
      <w:r>
        <w:t xml:space="preserve"> Firm theological convictions are healthier when paired with reverence and self-examination, not anger.</w:t>
      </w:r>
      <w:r/>
    </w:p>
    <w:p>
      <w:pPr>
        <w:pStyle w:val="ListBullet"/>
        <w:spacing w:line="240" w:lineRule="auto"/>
        <w:ind w:left="720"/>
      </w:pPr>
      <w:r/>
      <w:r>
        <w:rPr>
          <w:b/>
        </w:rPr>
        <w:t>Charity shapes theology:</w:t>
      </w:r>
      <w:r>
        <w:t xml:space="preserve"> Knowledge untethered from love risks bitterness; theology should form character as well as doctrine.</w:t>
      </w:r>
      <w:r/>
    </w:p>
    <w:p>
      <w:pPr>
        <w:pStyle w:val="ListBullet"/>
        <w:spacing w:line="240" w:lineRule="auto"/>
        <w:ind w:left="720"/>
      </w:pPr>
      <w:r/>
      <w:r>
        <w:rPr>
          <w:b/>
        </w:rPr>
        <w:t>Listen first:</w:t>
      </w:r>
      <w:r>
        <w:t xml:space="preserve"> Repairing wounds from debates about sexuality and inclusion begins by hearing personal stories and admitting harm.</w:t>
      </w:r>
      <w:r/>
    </w:p>
    <w:p>
      <w:pPr>
        <w:pStyle w:val="ListBullet"/>
        <w:spacing w:line="240" w:lineRule="auto"/>
        <w:ind w:left="720"/>
      </w:pPr>
      <w:r/>
      <w:r>
        <w:rPr>
          <w:b/>
        </w:rPr>
        <w:t>Shared practices help:</w:t>
      </w:r>
      <w:r>
        <w:t xml:space="preserve"> Prayer, service, and honest speech create space for disagreement without exclusion.</w:t>
      </w:r>
      <w:r/>
    </w:p>
    <w:p>
      <w:pPr>
        <w:pStyle w:val="ListBullet"/>
        <w:spacing w:line="240" w:lineRule="auto"/>
        <w:ind w:left="720"/>
      </w:pPr>
      <w:r/>
      <w:r>
        <w:rPr>
          <w:b/>
        </w:rPr>
        <w:t>Civility is active:</w:t>
      </w:r>
      <w:r>
        <w:t xml:space="preserve"> Treating those who differ fairly doesn’t mean silence , it means speaking truth in love.</w:t>
      </w:r>
      <w:r/>
      <w:r/>
    </w:p>
    <w:p>
      <w:pPr>
        <w:pStyle w:val="Heading2"/>
      </w:pPr>
      <w:r>
        <w:t>Why humility is the first discipline of theological argument</w:t>
      </w:r>
      <w:r/>
    </w:p>
    <w:p>
      <w:r/>
      <w:r>
        <w:t>Start with the gut feeling: certainty can feel satisfying, even righteous, but it often comes with a hard edge, your mouth gets quick and your heart gets tight. The writer’s memory of a supervisor nudging him away from anger shows how a single phrase can reframe a vocation. Theology, by its nature, begins beneath God’s revelation rather than above it, and that posture invites ongoing correction and learning.</w:t>
      </w:r>
      <w:r/>
    </w:p>
    <w:p>
      <w:r/>
      <w:r>
        <w:t>This isn’t a call to relativism. It’s a reminder that being well-formed in doctrine should also look like being tender in spirit. Practically, ask yourself before you speak: have I listened carefully, represented the other side fairly, and prayed about this? Those small checks undo the automatic contempt that debates easily produce.</w:t>
      </w:r>
      <w:r/>
    </w:p>
    <w:p>
      <w:pPr>
        <w:pStyle w:val="Heading2"/>
      </w:pPr>
      <w:r>
        <w:t>How debates over sexuality exposed relational wounds , and how to begin repairing them</w:t>
      </w:r>
      <w:r/>
    </w:p>
    <w:p>
      <w:r/>
      <w:r>
        <w:t>Arguments about sexuality and marriage in recent decades left real people hurt, not just abstract positions unsettled. For many LGBTQ+ Christians, certain doctrinal stances have read as rejection; for some traditionalists, rapid change has felt like abandonment. Acknowledging those experiences is the essential first move toward repair.</w:t>
      </w:r>
      <w:r/>
    </w:p>
    <w:p>
      <w:r/>
      <w:r>
        <w:t>Repair looks like attentive listening, confession where required, and a willingness to accept moral examination without assuming it forces a change in conviction. It’s less theatrical reconciliation and more the patient work of rebuilding trust through consistent, humble presence.</w:t>
      </w:r>
      <w:r/>
    </w:p>
    <w:p>
      <w:pPr>
        <w:pStyle w:val="Heading2"/>
      </w:pPr>
      <w:r>
        <w:t>Speaking truth in love: practical steps for congregations</w:t>
      </w:r>
      <w:r/>
    </w:p>
    <w:p>
      <w:r/>
      <w:r>
        <w:t>Saying you value someone while disagreeing with them takes practice. Start by modelling conversations where parties state their beliefs and then summarise the other’s position accurately before responding. Encourage parish forums that combine prayer with honest speech rather than debate-as-debate.</w:t>
      </w:r>
      <w:r/>
    </w:p>
    <w:p>
      <w:r/>
      <w:r>
        <w:t>Leadership can set the tone by refusing caricature and by appointing facilitators who keep tone and content accountable. And remember: loving the neighbour in your pew is not the same as endorsing every conclusion they reach.</w:t>
      </w:r>
      <w:r/>
    </w:p>
    <w:p>
      <w:pPr>
        <w:pStyle w:val="Heading2"/>
      </w:pPr>
      <w:r>
        <w:t>Why church practices, prayer, service, and shared work, stabilise disagreement</w:t>
      </w:r>
      <w:r/>
    </w:p>
    <w:p>
      <w:r/>
      <w:r>
        <w:t>Shared disciplines bind communities in ways arguments cannot. When people worship, serve, and pray together, differences are encountered in the context of common life, which humanises those on the other side and lessens demonisation.</w:t>
      </w:r>
      <w:r/>
    </w:p>
    <w:p>
      <w:r/>
      <w:r>
        <w:t>If your parish struggles, try a short-term joint project, foodbank shifts, community outreach, that requires cooperation and modest conversation. Those practical ties make it harder to reduce the other to an opposing argument and easier to remember baptismal commonality.</w:t>
      </w:r>
      <w:r/>
    </w:p>
    <w:p>
      <w:pPr>
        <w:pStyle w:val="Heading2"/>
      </w:pPr>
      <w:r>
        <w:t>What leaders on both sides should avoid, and what to aspire to instead</w:t>
      </w:r>
      <w:r/>
    </w:p>
    <w:p>
      <w:r/>
      <w:r>
        <w:t>Progressive majorities and conservative minorities both fall into temptation: the former to assume bad motives, the latter to mistake anger for faithfulness. Both reactions fracture witness. Leaders should resist reducing opponents to hostility and should instead treat convictions as sincere attempts at faithfulness.</w:t>
      </w:r>
      <w:r/>
    </w:p>
    <w:p>
      <w:r/>
      <w:r>
        <w:t>Aspire to accountability, public repentance where harm has been done, and generosity in appointment and recognition. That way, theological difference becomes a field of faithful disagreement rather than cultural warfare.</w:t>
      </w:r>
      <w:r/>
    </w:p>
    <w:p>
      <w:r/>
      <w:r>
        <w:t>It's a small change that can make every conversation in the parish safer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https://livingchurch.org/covenant/conviction-without-contempt-a-primer-for-living-together-amid-theological-difference/</w:t>
        </w:r>
      </w:hyperlink>
      <w:r>
        <w:t xml:space="preserve"> - Please view link - unable to able to access data</w:t>
      </w:r>
      <w:r/>
    </w:p>
    <w:p>
      <w:pPr>
        <w:pStyle w:val="ListNumber"/>
        <w:spacing w:line="240" w:lineRule="auto"/>
        <w:ind w:left="720"/>
      </w:pPr>
      <w:r/>
      <w:hyperlink r:id="rId10">
        <w:r>
          <w:rPr>
            <w:color w:val="0000EE"/>
            <w:u w:val="single"/>
          </w:rPr>
          <w:t>https://livingchurch.org/covenant/the-whatever-of-faith/</w:t>
        </w:r>
      </w:hyperlink>
      <w:r>
        <w:t xml:space="preserve"> - In this article, Donald Richmond explores the significance of the term 'whatever' in Romans 14:23, where Paul states, 'whatever does not proceed from faith is sin.' Richmond delves into the context of the Roman congregation's internal tensions, particularly concerning dietary practices and observance of certain days. He argues that these issues, while seemingly minor, serve as opportunities for Christians to express grace towards one another. The article highlights how the concept of 'whatever' in this passage is not about indifference but about fostering unity and understanding within the community.</w:t>
      </w:r>
      <w:r/>
    </w:p>
    <w:p>
      <w:pPr>
        <w:pStyle w:val="ListNumber"/>
        <w:spacing w:line="240" w:lineRule="auto"/>
        <w:ind w:left="720"/>
      </w:pPr>
      <w:r/>
      <w:hyperlink r:id="rId12">
        <w:r>
          <w:rPr>
            <w:color w:val="0000EE"/>
            <w:u w:val="single"/>
          </w:rPr>
          <w:t>https://www.idisciple.org/articles/conviction-without-shame/</w:t>
        </w:r>
      </w:hyperlink>
      <w:r>
        <w:t xml:space="preserve"> - This article discusses the difference between guilt and conviction in the Christian faith. The author reflects on a personal experience of witnessing a criminal being sentenced and draws parallels to the concept of conviction in Christianity. They emphasize that God's conviction is specific and aimed at guiding believers towards repentance and growth, without inducing shame. The piece encourages readers to respond to God's conviction with gratitude, confession, repentance, and restitution, highlighting that conviction motivates and empowers believers to live according to God's will.</w:t>
      </w:r>
      <w:r/>
    </w:p>
    <w:p>
      <w:pPr>
        <w:pStyle w:val="ListNumber"/>
        <w:spacing w:line="240" w:lineRule="auto"/>
        <w:ind w:left="720"/>
      </w:pPr>
      <w:r/>
      <w:hyperlink r:id="rId13">
        <w:r>
          <w:rPr>
            <w:color w:val="0000EE"/>
            <w:u w:val="single"/>
          </w:rPr>
          <w:t>https://www.truewordfaithforlife.com/blog/truth-without-contempt/</w:t>
        </w:r>
      </w:hyperlink>
      <w:r>
        <w:t xml:space="preserve"> - In this blog post, the author examines the difference between conviction and condemnation, particularly in the context of sharing truth. They discuss how condemnation is often sweeping and vague, leading to despair and division, while conviction is specific, honest, and leads to repentance and restoration. The article warns against confusing condemnation with conviction, as doing so can result in misrepresenting the character of God. It encourages believers to discern between the two and to ensure that their actions and words align with the restorative nature of God's conviction.</w:t>
      </w:r>
      <w:r/>
    </w:p>
    <w:p>
      <w:pPr>
        <w:pStyle w:val="ListNumber"/>
        <w:spacing w:line="240" w:lineRule="auto"/>
        <w:ind w:left="720"/>
      </w:pPr>
      <w:r/>
      <w:hyperlink r:id="rId14">
        <w:r>
          <w:rPr>
            <w:color w:val="0000EE"/>
            <w:u w:val="single"/>
          </w:rPr>
          <w:t>https://livingchurch.org/covenant/communion-and-consent/</w:t>
        </w:r>
      </w:hyperlink>
      <w:r>
        <w:t xml:space="preserve"> - Clint Wilson's essay addresses the contentious issue of communion without baptism (CWOB) within the Episcopal Church. He critiques the practice of offering communion to unbaptized individuals, arguing that it diminishes the penitential call placed on every disciple. Wilson emphasizes the importance of baptism as the entryway into the church and the body of Christ, suggesting that CWOB undermines the significance of this sacrament. The article calls for a deeper understanding and respect for the theological and liturgical practices of the church, urging a return to traditional teachings on communion and baptism.</w:t>
      </w:r>
      <w:r/>
    </w:p>
    <w:p>
      <w:pPr>
        <w:pStyle w:val="ListNumber"/>
        <w:spacing w:line="240" w:lineRule="auto"/>
        <w:ind w:left="720"/>
      </w:pPr>
      <w:r/>
      <w:hyperlink r:id="rId11">
        <w:r>
          <w:rPr>
            <w:color w:val="0000EE"/>
            <w:u w:val="single"/>
          </w:rPr>
          <w:t>https://livingchurch.org/covenant/communion-and-clarifying-dialogue/</w:t>
        </w:r>
      </w:hyperlink>
      <w:r>
        <w:t xml:space="preserve"> - In this follow-up to his previous essay, Clint Wilson responds to critiques of his article 'Communion and Consent.' He addresses concerns about the theological and process-based aspects of his argument, as well as the misappropriation of others' trauma. Wilson clarifies that he does not hold visiting communicants responsible for improper reception of the body of Christ but places the blame on clergy who intentionally push CWOB. He emphasizes the need for dialogue and mutual understanding within the church, advocating for a return to traditional practices that uphold the penitential nature of baptism and communion.</w:t>
      </w:r>
      <w:r/>
    </w:p>
    <w:p>
      <w:pPr>
        <w:pStyle w:val="ListNumber"/>
        <w:spacing w:line="240" w:lineRule="auto"/>
        <w:ind w:left="720"/>
      </w:pPr>
      <w:r/>
      <w:hyperlink r:id="rId15">
        <w:r>
          <w:rPr>
            <w:color w:val="0000EE"/>
            <w:u w:val="single"/>
          </w:rPr>
          <w:t>https://livingchurch.org/covenant/abolition-is-gospel-work/</w:t>
        </w:r>
      </w:hyperlink>
      <w:r>
        <w:t xml:space="preserve"> - Hannah Bowman's article discusses the church's calling to care for incarcerated individuals and to work against the dehumanizing and racially inequitable systems of prisons and policing in modern American society. She references a proposed resolution for General Convention that calls the Episcopal Church to take a clear moral stance in favor of prison abolition. Bowman argues that the church should not only engage in compassionate ministry with incarcerated people but also seek to address the underlying systems of exclusion and punishment, aligning with Jesus' mission to bring liberty to captives.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vingchurch.org/covenant/conviction-without-contempt-a-primer-for-living-together-amid-theological-difference/" TargetMode="External"/><Relationship Id="rId10" Type="http://schemas.openxmlformats.org/officeDocument/2006/relationships/hyperlink" Target="https://livingchurch.org/covenant/the-whatever-of-faith/" TargetMode="External"/><Relationship Id="rId11" Type="http://schemas.openxmlformats.org/officeDocument/2006/relationships/hyperlink" Target="https://livingchurch.org/covenant/communion-and-clarifying-dialogue/" TargetMode="External"/><Relationship Id="rId12" Type="http://schemas.openxmlformats.org/officeDocument/2006/relationships/hyperlink" Target="https://www.idisciple.org/articles/conviction-without-shame/" TargetMode="External"/><Relationship Id="rId13" Type="http://schemas.openxmlformats.org/officeDocument/2006/relationships/hyperlink" Target="https://www.truewordfaithforlife.com/blog/truth-without-contempt/" TargetMode="External"/><Relationship Id="rId14" Type="http://schemas.openxmlformats.org/officeDocument/2006/relationships/hyperlink" Target="https://livingchurch.org/covenant/communion-and-consent/" TargetMode="External"/><Relationship Id="rId15" Type="http://schemas.openxmlformats.org/officeDocument/2006/relationships/hyperlink" Target="https://livingchurch.org/covenant/abolition-is-gospel-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