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Authorities Defying EHRC Guidance on Single-Sex Spaces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campaigners and council-watchers have noticed a sharp tug-of-war over single-sex spaces as several local authorities and public bodies resist new Equality and Human Rights Commission guidance; who’s complying, who’s delaying, and why this matters for women’s safety and services.</w:t>
      </w:r>
      <w:r/>
    </w:p>
    <w:p>
      <w:r/>
      <w:r>
        <w:t>Essential Takeaways</w:t>
      </w:r>
      <w:r/>
      <w:r/>
    </w:p>
    <w:p>
      <w:pPr>
        <w:pStyle w:val="ListBullet"/>
        <w:spacing w:line="240" w:lineRule="auto"/>
        <w:ind w:left="720"/>
      </w:pPr>
      <w:r/>
      <w:r>
        <w:rPr>
          <w:b/>
        </w:rPr>
        <w:t>EHRC clarity:</w:t>
      </w:r>
      <w:r>
        <w:t xml:space="preserve"> The Equality and Human Rights Commission has published fresh guidance to clarify access to single-sex spaces after the Supreme Court ruling, aiming to reduce ambiguity.</w:t>
      </w:r>
      <w:r/>
    </w:p>
    <w:p>
      <w:pPr>
        <w:pStyle w:val="ListBullet"/>
        <w:spacing w:line="240" w:lineRule="auto"/>
        <w:ind w:left="720"/>
      </w:pPr>
      <w:r/>
      <w:r>
        <w:rPr>
          <w:b/>
        </w:rPr>
        <w:t>Patchy buy-in:</w:t>
      </w:r>
      <w:r>
        <w:t xml:space="preserve"> Some councils and public bodies have updated policies to remain trans-inclusive, prompting claims they’re not fully implementing the guidance.</w:t>
      </w:r>
      <w:r/>
    </w:p>
    <w:p>
      <w:pPr>
        <w:pStyle w:val="ListBullet"/>
        <w:spacing w:line="240" w:lineRule="auto"/>
        <w:ind w:left="720"/>
      </w:pPr>
      <w:r/>
      <w:r>
        <w:rPr>
          <w:b/>
        </w:rPr>
        <w:t>Legal pressure building:</w:t>
      </w:r>
      <w:r>
        <w:t xml:space="preserve"> Campaign groups and individuals are preparing strategic litigation to force compliance where bodies resist.</w:t>
      </w:r>
      <w:r/>
    </w:p>
    <w:p>
      <w:pPr>
        <w:pStyle w:val="ListBullet"/>
        <w:spacing w:line="240" w:lineRule="auto"/>
        <w:ind w:left="720"/>
      </w:pPr>
      <w:r/>
      <w:r>
        <w:rPr>
          <w:b/>
        </w:rPr>
        <w:t>Practical impact:</w:t>
      </w:r>
      <w:r>
        <w:t xml:space="preserve"> The dispute affects changing rooms, toilets, sports categories and workplace facilities , practical, everyday spaces where women report feeling vulnerable.</w:t>
      </w:r>
      <w:r/>
    </w:p>
    <w:p>
      <w:pPr>
        <w:pStyle w:val="ListBullet"/>
        <w:spacing w:line="240" w:lineRule="auto"/>
        <w:ind w:left="720"/>
      </w:pPr>
      <w:r/>
      <w:r>
        <w:rPr>
          <w:b/>
        </w:rPr>
        <w:t>Confusion persists:</w:t>
      </w:r>
      <w:r>
        <w:t xml:space="preserve"> Organisations including some NHS trusts and sports bodies are still reviewing or using gender-based language, which keeps uncertainty alive.</w:t>
      </w:r>
      <w:r/>
      <w:r/>
    </w:p>
    <w:p>
      <w:pPr>
        <w:pStyle w:val="Heading2"/>
      </w:pPr>
      <w:r>
        <w:t>What the EHRC actually said , and why it matters</w:t>
      </w:r>
      <w:r/>
    </w:p>
    <w:p>
      <w:r/>
      <w:r>
        <w:t>The Equality and Human Rights Commission published guidance to explain how the law treats single-sex services after the Supreme Court clarified that "sex" means biological sex. That guidance is meant to give councils, health trusts and service providers a blueprint for practical decisions on who can use female-only toilets, changing rooms and the like. According to the EHRC, this is about legal clarity, not culture wars, and it’s supposed to reduce the guesswork that’s left organisations exposed to legal challenge. For everyday women, the point is simple: consistent application matters because it determines whether facilities actually protect privacy and dignity.</w:t>
      </w:r>
      <w:r/>
    </w:p>
    <w:p>
      <w:pPr>
        <w:pStyle w:val="Heading2"/>
      </w:pPr>
      <w:r>
        <w:t>Councils caught between law and inclusivity rhetoric</w:t>
      </w:r>
      <w:r/>
    </w:p>
    <w:p>
      <w:r/>
      <w:r>
        <w:t>Several local authorities , notably in London and places such as Bristol , have adopted or signalled policies described by campaigners as “trans-inclusive”, even after the EHRC update. In Bristol, for instance, campaigners say the council’s wording still uses phrases like "sex assigned at birth" and "trans‑inclusive single‑gender facilities", and they feel those formulations water down protections for biological females. The council says it aims to balance equality duties and human rights principles while remaining inclusive. The result is a stalemate: campaigners see evasion, councillors talk about dignity for all, and legal clarity from Whitehall feels slow to reach civic practice.</w:t>
      </w:r>
      <w:r/>
    </w:p>
    <w:p>
      <w:pPr>
        <w:pStyle w:val="Heading2"/>
      </w:pPr>
      <w:r>
        <w:t>NHS and other public services , delay, confusion or defiance?</w:t>
      </w:r>
      <w:r/>
    </w:p>
    <w:p>
      <w:r/>
      <w:r>
        <w:t>NHS trusts and health boards show a scattergun response. Some trusts say they need time to align policies, others appear to treat legal gender or identity-based rules as decisive, and a few have openly advised no immediate change. That patchwork leaves staff and patients in limbo: nurses who challenged changing-room policies emphasise safety and the right to a working environment that respects the law, while campaign groups say prolonged non-compliance will inevitably end up in court. The practical advice for staff and service-users is to check local policy updates and log concerns formally, because legal disputes are likely to hinge on documented local practice.</w:t>
      </w:r>
      <w:r/>
    </w:p>
    <w:p>
      <w:pPr>
        <w:pStyle w:val="Heading2"/>
      </w:pPr>
      <w:r>
        <w:t>Sport and grassroots events , fairness versus inclusion</w:t>
      </w:r>
      <w:r/>
    </w:p>
    <w:p>
      <w:r/>
      <w:r>
        <w:t>Sports governing bodies present a particularly thorny angle because categories and records matter. Elite federations have broadly signalled compliance, while many grassroots and masters events still use gender-identity rules or say they are "reviewing" guidance. That fuels frustration among female participants who report feeling uneasy competing or getting changed when male-bodied competitors enter female categories. Sporting authorities are being urged to draw clear lines: make male categories safe and competitive, or protect female categories as the law intends. If they don’t, expect strategic legal cases targeting specific bodies rather than abstract arguments.</w:t>
      </w:r>
      <w:r/>
    </w:p>
    <w:p>
      <w:pPr>
        <w:pStyle w:val="Heading2"/>
      </w:pPr>
      <w:r>
        <w:t>Legal pushback and the strategy ahead</w:t>
      </w:r>
      <w:r/>
    </w:p>
    <w:p>
      <w:r/>
      <w:r>
        <w:t>Campaign groups are shifting to strategic litigation as the primary tool to force compliance. Some organisations are prepared to sue councils, NHS trusts or sporting bodies to obtain definitive rulings that lower-level tribunals have failed to deliver consistently. The logic is pragmatic: a handful of high-level rulings could remove ambiguity and force national and local bodies to change policy. For campaigners and those affected, the message is blunt , if institutions hope to ignore or reinterpret the guidance, they risk costly legal battles and reputational damage.</w:t>
      </w:r>
      <w:r/>
    </w:p>
    <w:p>
      <w:r/>
      <w:r>
        <w:t>It's a small change in wording that has big consequences for everyday spaces , and for the next wave of legal fights, keep an eye on council chambers, NHS boardrooms and local sports clubs.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https://ca.news.yahoo.com/british-institutions-defying-supreme-court-050000817.html</w:t>
        </w:r>
      </w:hyperlink>
      <w:r>
        <w:t xml:space="preserve"> - Please view link - unable to able to access data</w:t>
      </w:r>
      <w:r/>
    </w:p>
    <w:p>
      <w:pPr>
        <w:pStyle w:val="ListNumber"/>
        <w:spacing w:line="240" w:lineRule="auto"/>
        <w:ind w:left="720"/>
      </w:pPr>
      <w:r/>
      <w:hyperlink r:id="rId10">
        <w:r>
          <w:rPr>
            <w:color w:val="0000EE"/>
            <w:u w:val="single"/>
          </w:rPr>
          <w:t>https://www.equalityhumanrights.com/en/our-work/news/ehrc-concludes-regulatory-action-single-sex-space-policies</w:t>
        </w:r>
      </w:hyperlink>
      <w:r>
        <w:t xml:space="preserve"> - In February 2026, the Equality and Human Rights Commission (EHRC) concluded its regulatory action on single-sex space policies. Following the Supreme Court's April 2025 judgment in For Women Scotland v Scottish Ministers, which clarified that 'sex' refers to biological sex under the Equality Act 2010, the EHRC identified 19 organisations with policies misrepresenting this definition. These organisations, spanning policing, education, and health sectors, have since amended their policies to align with the EHRC's guidance, ensuring compliance with the Equality Act 2010 and protecting individuals from discrimination based on gender reassignment.</w:t>
      </w:r>
      <w:r/>
    </w:p>
    <w:p>
      <w:pPr>
        <w:pStyle w:val="ListNumber"/>
        <w:spacing w:line="240" w:lineRule="auto"/>
        <w:ind w:left="720"/>
      </w:pPr>
      <w:r/>
      <w:hyperlink r:id="rId11">
        <w:r>
          <w:rPr>
            <w:color w:val="0000EE"/>
            <w:u w:val="single"/>
          </w:rPr>
          <w:t>https://www.equalityhumanrights.com/en/our-work/news/ehrc-issues-guidance-single-sex-spaces-after-supreme-court-ruling</w:t>
        </w:r>
      </w:hyperlink>
      <w:r>
        <w:t xml:space="preserve"> - In May 2026, the EHRC issued updated guidance on single-sex spaces following the Supreme Court's April 2025 ruling in For Women Scotland v Scottish Ministers. The guidance clarifies that, for the purposes of the Equality Act 2010, 'sex' refers to biological sex. Service providers are advised to review their single-sex facilities to ensure they comply with this definition, while also considering the provision of alternative options for transgender individuals to balance legal obligations with inclusivity.</w:t>
      </w:r>
      <w:r/>
    </w:p>
    <w:p>
      <w:pPr>
        <w:pStyle w:val="ListNumber"/>
        <w:spacing w:line="240" w:lineRule="auto"/>
        <w:ind w:left="720"/>
      </w:pPr>
      <w:r/>
      <w:hyperlink r:id="rId14">
        <w:r>
          <w:rPr>
            <w:color w:val="0000EE"/>
            <w:u w:val="single"/>
          </w:rPr>
          <w:t>https://www.dwfgroup.com/en/insights/legal-updates/ehrc-code-of-practice-for-service-providers-no-changes-to-draft-guidance-on-single-sex-spaces</w:t>
        </w:r>
      </w:hyperlink>
      <w:r>
        <w:t xml:space="preserve"> - In July 2026, DWF Group reported that the EHRC's updated Code of Practice for service providers, effective from August 2026, includes guidance on single-sex spaces. The Code, which replaces the 2011 version, provides statutory guidance on interpreting the Equality Act 2010 in the context of service provision. Organisations are encouraged to review their policies to ensure they are fit for purpose, taking a structured and evidence-based approach when making decisions that may affect different groups.</w:t>
      </w:r>
      <w:r/>
    </w:p>
    <w:p>
      <w:pPr>
        <w:pStyle w:val="ListNumber"/>
        <w:spacing w:line="240" w:lineRule="auto"/>
        <w:ind w:left="720"/>
      </w:pPr>
      <w:r/>
      <w:hyperlink r:id="rId13">
        <w:r>
          <w:rPr>
            <w:color w:val="0000EE"/>
            <w:u w:val="single"/>
          </w:rPr>
          <w:t>https://www.timeshighereducation.com/news/ehrc-guidance-single-sex-spaces-big-shift-universities</w:t>
        </w:r>
      </w:hyperlink>
      <w:r>
        <w:t xml:space="preserve"> - In May 2026, Times Higher Education reported on the EHRC's new guidance on single-sex spaces, highlighting its significant impact on universities. The guidance confirms that single-sex facilities should be based on biological sex, following the Supreme Court's ruling in April 2025. Universities are advised to review their policies to ensure compliance, balancing legal obligations with inclusivity. The guidance also suggests offering alternative options for transgender individuals to maintain inclusivity while adhering to the law.</w:t>
      </w:r>
      <w:r/>
    </w:p>
    <w:p>
      <w:pPr>
        <w:pStyle w:val="ListNumber"/>
        <w:spacing w:line="240" w:lineRule="auto"/>
        <w:ind w:left="720"/>
      </w:pPr>
      <w:r/>
      <w:hyperlink r:id="rId12">
        <w:r>
          <w:rPr>
            <w:color w:val="0000EE"/>
            <w:u w:val="single"/>
          </w:rPr>
          <w:t>https://www.bristol.gov.uk/council/policies-plans-and-strategies/equality-diversity-and-cohesion-policies/our-equality-policies-and-equalities-legislation</w:t>
        </w:r>
      </w:hyperlink>
      <w:r>
        <w:t xml:space="preserve"> - Bristol City Council's Equality and Inclusion Policy outlines the council's commitment to tackling equality issues, eliminating discrimination, and fostering good relationships between communities. The policy sets out how the council aims to ensure that individuals from different backgrounds have similar life opportunities. It includes the Equity and Inclusion Strategic Framework 2023 to 2027, which guides the council's approach to equality and inclusion, and references relevant government legislation that the council follows.</w:t>
      </w:r>
      <w:r/>
    </w:p>
    <w:p>
      <w:pPr>
        <w:pStyle w:val="ListNumber"/>
        <w:spacing w:line="240" w:lineRule="auto"/>
        <w:ind w:left="720"/>
      </w:pPr>
      <w:r/>
      <w:hyperlink r:id="rId15">
        <w:r>
          <w:rPr>
            <w:color w:val="0000EE"/>
            <w:u w:val="single"/>
          </w:rPr>
          <w:t>https://www.hcrlaw.com/news-and-insights/ehrc-technical-guidance-for-schools-september-2023-update/</w:t>
        </w:r>
      </w:hyperlink>
      <w:r>
        <w:t xml:space="preserve"> - In November 2023, HCR Law reported on the EHRC's updated technical guidance for schools, which outlines schools' legal obligations under the Equality Act 2010. The guidance has been reviewed to ensure references to the protected characteristics of sex and gender reassignment reflect recent legal developments. Notably, the update removes a previous FAQ that stated a school must use a pupil's chosen name and refer to them as a boy if they have started to live as a boy and adopted a male name, clarifying the school's obligations in such situations.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british-institutions-defying-supreme-court-050000817.html" TargetMode="External"/><Relationship Id="rId10" Type="http://schemas.openxmlformats.org/officeDocument/2006/relationships/hyperlink" Target="https://www.equalityhumanrights.com/en/our-work/news/ehrc-concludes-regulatory-action-single-sex-space-policies" TargetMode="External"/><Relationship Id="rId11" Type="http://schemas.openxmlformats.org/officeDocument/2006/relationships/hyperlink" Target="https://www.equalityhumanrights.com/en/our-work/news/ehrc-issues-guidance-single-sex-spaces-after-supreme-court-ruling" TargetMode="External"/><Relationship Id="rId12" Type="http://schemas.openxmlformats.org/officeDocument/2006/relationships/hyperlink" Target="https://www.bristol.gov.uk/council/policies-plans-and-strategies/equality-diversity-and-cohesion-policies/our-equality-policies-and-equalities-legislation" TargetMode="External"/><Relationship Id="rId13" Type="http://schemas.openxmlformats.org/officeDocument/2006/relationships/hyperlink" Target="https://www.timeshighereducation.com/news/ehrc-guidance-single-sex-spaces-big-shift-universities" TargetMode="External"/><Relationship Id="rId14" Type="http://schemas.openxmlformats.org/officeDocument/2006/relationships/hyperlink" Target="https://www.dwfgroup.com/en/insights/legal-updates/ehrc-code-of-practice-for-service-providers-no-changes-to-draft-guidance-on-single-sex-spaces" TargetMode="External"/><Relationship Id="rId15" Type="http://schemas.openxmlformats.org/officeDocument/2006/relationships/hyperlink" Target="https://www.hcrlaw.com/news-and-insights/ehrc-technical-guidance-for-schools-september-2023-upd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