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Estate Planning Steps for LGBTQ+ Couples to Protect Assets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and planners alike are increasingly turning to clear estate documents: for LGBTQ+ couples who want to protect partners and children, thoughtful titling, wills and powers of attorney are essential, and they matter whether you’re married, partnered or single. This guide lays out practical steps, why they matter, and how to start.</w:t>
      </w:r>
      <w:r/>
    </w:p>
    <w:p>
      <w:r/>
      <w:r>
        <w:t>Essential Takeaways</w:t>
      </w:r>
      <w:r/>
      <w:r/>
    </w:p>
    <w:p>
      <w:pPr>
        <w:pStyle w:val="ListBullet"/>
        <w:spacing w:line="240" w:lineRule="auto"/>
        <w:ind w:left="720"/>
      </w:pPr>
      <w:r/>
      <w:r>
        <w:rPr>
          <w:b/>
        </w:rPr>
        <w:t>Marriage changes things:</w:t>
      </w:r>
      <w:r>
        <w:t xml:space="preserve"> Married couples gain automatic federal benefits and tax protections that unmarried couples don’t, so documentation matters more for those who aren’t married. </w:t>
      </w:r>
      <w:r/>
    </w:p>
    <w:p>
      <w:pPr>
        <w:pStyle w:val="ListBullet"/>
        <w:spacing w:line="240" w:lineRule="auto"/>
        <w:ind w:left="720"/>
      </w:pPr>
      <w:r/>
      <w:r>
        <w:rPr>
          <w:b/>
        </w:rPr>
        <w:t>Title matters:</w:t>
      </w:r>
      <w:r>
        <w:t xml:space="preserve"> How you hold property , joint tenancy, tenancy by the entirety or individual title , determines who legally owns it and who inherits it. </w:t>
      </w:r>
      <w:r/>
    </w:p>
    <w:p>
      <w:pPr>
        <w:pStyle w:val="ListBullet"/>
        <w:spacing w:line="240" w:lineRule="auto"/>
        <w:ind w:left="720"/>
      </w:pPr>
      <w:r/>
      <w:r>
        <w:rPr>
          <w:b/>
        </w:rPr>
        <w:t>Name beneficiaries:</w:t>
      </w:r>
      <w:r>
        <w:t xml:space="preserve"> Retirement accounts and life insurance pass by beneficiary designation, so check and update them regularly. </w:t>
      </w:r>
      <w:r/>
    </w:p>
    <w:p>
      <w:pPr>
        <w:pStyle w:val="ListBullet"/>
        <w:spacing w:line="240" w:lineRule="auto"/>
        <w:ind w:left="720"/>
      </w:pPr>
      <w:r/>
      <w:r>
        <w:rPr>
          <w:b/>
        </w:rPr>
        <w:t>Plan for incapacity:</w:t>
      </w:r>
      <w:r>
        <w:t xml:space="preserve"> Financial powers of attorney and healthcare directives give your partner authority if you can’t make decisions. </w:t>
      </w:r>
      <w:r/>
    </w:p>
    <w:p>
      <w:pPr>
        <w:pStyle w:val="ListBullet"/>
        <w:spacing w:line="240" w:lineRule="auto"/>
        <w:ind w:left="720"/>
      </w:pPr>
      <w:r/>
      <w:r>
        <w:rPr>
          <w:b/>
        </w:rPr>
        <w:t>Get professional help:</w:t>
      </w:r>
      <w:r>
        <w:t xml:space="preserve"> An advisor and an estate planning lawyer familiar with LGBTQ+ issues can coordinate legal, tax and family concerns.</w:t>
      </w:r>
      <w:r/>
      <w:r/>
    </w:p>
    <w:p>
      <w:pPr>
        <w:pStyle w:val="Heading2"/>
      </w:pPr>
      <w:r>
        <w:t>Why titling and beneficiary forms are the first things to check</w:t>
      </w:r>
      <w:r/>
    </w:p>
    <w:p>
      <w:r/>
      <w:r>
        <w:t>Look at a bank statement and you’ll see the single clearest route to trouble or safety: the name on the account. Retirement plans and life policies follow beneficiary forms, not wills, which makes those little checkboxes hugely powerful and, frankly, emotional. Unmarried partners often assume long-term relationships will be enough, but state intestacy rules can send assets to parents or siblings instead of a partner, leaving surviving partners scrambling. Industry guides from financial planners stress this same practical point: update designations now, and again after any relationship change. If you’re unsure where to start, gather recent account statements, policy paperwork and titles. Then make the easy wins: name your partner as beneficiary or add pay-on-death instructions on bank accounts.</w:t>
      </w:r>
      <w:r/>
    </w:p>
    <w:p>
      <w:pPr>
        <w:pStyle w:val="Heading2"/>
      </w:pPr>
      <w:r>
        <w:t>Wills and trusts: privacy, control and avoiding probate</w:t>
      </w:r>
      <w:r/>
    </w:p>
    <w:p>
      <w:r/>
      <w:r>
        <w:t>A will names who gets what, and an executor to carry out your wishes, which is especially important for unmarried couples. But wills still go through probate, which is public and can be slow. That’s where a revocable living trust comes in: it can avoid probate, keep financial details private and spell out timing or conditions for distributions. Trusts also help if you want staged distributions , say, assets released for a surviving partner’s housing but preserved for children later , and give a clear successor to manage affairs if you become incapacitated. Estate planning specialists recommend trusts more often for blended families or higher-net-worth households, though they can benefit many couples.</w:t>
      </w:r>
      <w:r/>
    </w:p>
    <w:p>
      <w:pPr>
        <w:pStyle w:val="Heading2"/>
      </w:pPr>
      <w:r>
        <w:t>Powers of attorney and healthcare directives: who speaks for you</w:t>
      </w:r>
      <w:r/>
    </w:p>
    <w:p>
      <w:r/>
      <w:r>
        <w:t>Legal documents for incapacity are non-negotiable. A financial power of attorney lets a named agent pay bills and access accounts if you can’t, while a healthcare directive names a decision-maker and records your treatment wishes. Medical staff may default to biological relatives absent a clear legal designation, which can be devastating if your partner is excluded. Lawyers and LGBTQ+ advisors repeatedly urge couples to create both types of documents and store copies where trusted people can find them. Practical tip: give your hospital a copy of your advance directive on admission and keep digital copies with easy access.</w:t>
      </w:r>
      <w:r/>
    </w:p>
    <w:p>
      <w:pPr>
        <w:pStyle w:val="Heading2"/>
      </w:pPr>
      <w:r>
        <w:t>Choosing how to hold property: joint tenancy, tenancy by the entirety and community property</w:t>
      </w:r>
      <w:r/>
    </w:p>
    <w:p>
      <w:r/>
      <w:r>
        <w:t>Different forms of ownership carry different outcomes at death. Joint tenancy with rights of survivorship transfers ownership immediately to the surviving joint tenant, bypassing probate. Tenancy by the entirety is similar but usually limited to married couples and can add creditor protections in some states. Community property rules apply in a few states and affect tax basis , useful for married couples when one spouse dies. Some jurisdictions permit unmarried couples to mimic community property through written agreements, but that’s a legal nuance best handled with local counsel. So, check the law in your state and ask an advisor which titling choice fits your goals.</w:t>
      </w:r>
      <w:r/>
    </w:p>
    <w:p>
      <w:pPr>
        <w:pStyle w:val="Heading2"/>
      </w:pPr>
      <w:r>
        <w:t>Keeping plans current: life events and the shifting legal landscape</w:t>
      </w:r>
      <w:r/>
    </w:p>
    <w:p>
      <w:r/>
      <w:r>
        <w:t>Life changes , marriage, separation, a new child, relocation , should trigger an estate-plan review. For LGBTQ+ parents, legal parentage may not be automatic for both partners, meaning second-parent adoption or court-confirmed parentage might be necessary. The legal backdrop has strengthened in recent years, and marriage equality remains the baseline for federal recognition, but commentators warn not to rely on legal permanence. That uncertainty makes carefully drafted documents even more valuable as a protective layer. Schedule a review every few years or after major changes, and keep beneficiary forms aligned with wills and trusts.</w:t>
      </w:r>
      <w:r/>
    </w:p>
    <w:p>
      <w:r/>
      <w:r>
        <w:t>Closing line A little paperwork now makes emotional and financial chaos far less likely later , take the steps that suit your family and revisit them as life changes.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2">
        <w:r>
          <w:rPr>
            <w:color w:val="0000EE"/>
            <w:u w:val="single"/>
          </w:rPr>
          <w:t>[3]</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[6]</w:t>
        </w:r>
      </w:hyperlink>
      <w:r>
        <w:t xml:space="preserve">- Paragraph 5: </w:t>
      </w:r>
      <w:hyperlink r:id="rId15">
        <w:r>
          <w:rPr>
            <w:color w:val="0000EE"/>
            <w:u w:val="single"/>
          </w:rPr>
          <w:t>[4]</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https://www.epwealth.com/blog/lbgtq-considerations-for-asset-ownership-and-titling</w:t>
        </w:r>
      </w:hyperlink>
      <w:r>
        <w:t xml:space="preserve"> - Please view link - unable to able to access data</w:t>
      </w:r>
      <w:r/>
    </w:p>
    <w:p>
      <w:pPr>
        <w:pStyle w:val="ListNumber"/>
        <w:spacing w:line="240" w:lineRule="auto"/>
        <w:ind w:left="720"/>
      </w:pPr>
      <w:r/>
      <w:hyperlink r:id="rId10">
        <w:r>
          <w:rPr>
            <w:color w:val="0000EE"/>
            <w:u w:val="single"/>
          </w:rPr>
          <w:t>https://www.kiplinger.com/retirement/retirement-planning/how-lgbtq-couples-can-bridge-the-financial-planning-gap</w:t>
        </w:r>
      </w:hyperlink>
      <w:r>
        <w:t xml:space="preserve"> - This article discusses the financial planning challenges faced by modern couples, including LGBTQ+ partnerships, who often lead deeply interconnected lives regardless of their marital status. It highlights the importance of formalising aspects such as medical and financial authority, beneficiary designations, property ownership, insurance coverage, and estate planning. The piece emphasises that without proper planning, unmarried partners may lack legal authority in cases of incapacity, and misaligned beneficiary designations can result in assets going to unintended recipients. It also covers the significance of clear property ownership arrangements and adequate insurance and liquidity planning to ensure continuity during times of crisis.</w:t>
      </w:r>
      <w:r/>
    </w:p>
    <w:p>
      <w:pPr>
        <w:pStyle w:val="ListNumber"/>
        <w:spacing w:line="240" w:lineRule="auto"/>
        <w:ind w:left="720"/>
      </w:pPr>
      <w:r/>
      <w:hyperlink r:id="rId12">
        <w:r>
          <w:rPr>
            <w:color w:val="0000EE"/>
            <w:u w:val="single"/>
          </w:rPr>
          <w:t>https://www.justia.com/lgbtq/estate-planning/</w:t>
        </w:r>
      </w:hyperlink>
      <w:r>
        <w:t xml:space="preserve"> - This resource outlines estate planning legal issues pertinent to LGBTQ+ individuals. It explains that estate planning is crucial for everyone, not just those with extensive assets, as it ensures end-of-life wishes are respected and aids surviving loved ones in handling final affairs. The article notes that after the Obergefell v. Hodges decision legalising same-sex marriage, LGBTQ+ couples now have access to estate planning tools similar to those available to opposite-sex couples. It also discusses the importance of wills and trusts, highlighting that without a valid will or trust, property passes according to state intestacy laws, which may not align with an individual's wishes.</w:t>
      </w:r>
      <w:r/>
    </w:p>
    <w:p>
      <w:pPr>
        <w:pStyle w:val="ListNumber"/>
        <w:spacing w:line="240" w:lineRule="auto"/>
        <w:ind w:left="720"/>
      </w:pPr>
      <w:r/>
      <w:hyperlink r:id="rId15">
        <w:r>
          <w:rPr>
            <w:color w:val="0000EE"/>
            <w:u w:val="single"/>
          </w:rPr>
          <w:t>https://www.prideplans.com/packages</w:t>
        </w:r>
      </w:hyperlink>
      <w:r>
        <w:t xml:space="preserve"> - Pride Planning offers estate planning solutions tailored for the LGBTQ+ community. Their Trust-Based Estate Plan includes a revocable living trust, pour-over will, healthcare power of attorney with HIPAA authorisation, living will/advance directive, durable power of attorney, and more. This package is designed to provide marriage protection and probate avoidance. For couples, the package is priced at $1,450. Additionally, Pride Planning offers a Will-Based Estate Plan, which is a personalised, state-specific plan for assets, children, medical care, and final funeral arrangements.</w:t>
      </w:r>
      <w:r/>
    </w:p>
    <w:p>
      <w:pPr>
        <w:pStyle w:val="ListNumber"/>
        <w:spacing w:line="240" w:lineRule="auto"/>
        <w:ind w:left="720"/>
      </w:pPr>
      <w:r/>
      <w:hyperlink r:id="rId13">
        <w:r>
          <w:rPr>
            <w:color w:val="0000EE"/>
            <w:u w:val="single"/>
          </w:rPr>
          <w:t>https://www.financial-advisors-for-lgbtq.com/guides/lgbtq-advanced-estate-planning/</w:t>
        </w:r>
      </w:hyperlink>
      <w:r>
        <w:t xml:space="preserve"> - This guide covers advanced estate planning strategies for LGBTQ+ households with assets ranging from $1 million to $15 million. It highlights that estate planning for married same-sex couples differs from that for domestic partners, and neither aligns with the traditional married-heterosexual-couple framework. The article discusses the marital deduction, portability, and various estate planning tools such as Spousal Lifetime Access Trusts (SLATs), Grantor Retained Annuity Trusts (GRATs), and Installment Sale to Grantor Trusts (IDGTs). It also notes that standard estate planning guides often assume a married couple, which may not apply to all LGBTQ+ households.</w:t>
      </w:r>
      <w:r/>
    </w:p>
    <w:p>
      <w:pPr>
        <w:pStyle w:val="ListNumber"/>
        <w:spacing w:line="240" w:lineRule="auto"/>
        <w:ind w:left="720"/>
      </w:pPr>
      <w:r/>
      <w:hyperlink r:id="rId14">
        <w:r>
          <w:rPr>
            <w:color w:val="0000EE"/>
            <w:u w:val="single"/>
          </w:rPr>
          <w:t>https://www.aequitasfp.com/lgbtq-estate-planning-seattle</w:t>
        </w:r>
      </w:hyperlink>
      <w:r>
        <w:t xml:space="preserve"> - Aequitas offers LGBTQ+ estate planning services in Seattle, focusing on integrating tax, cash flow, estate, and investment planning. They highlight the importance of revocable trusts, beneficiary titling for concentrated RSU positions at companies like Amazon and Microsoft, and strategies for surviving partners to manage asset concentration without tax surprises. The firm emphasises that many generic advisors treat LGBTQ+ estate planning as an afterthought, whereas Aequitas provides comprehensive, coordinated planning tailored to the unique needs of LGBTQ+ households.</w:t>
      </w:r>
      <w:r/>
    </w:p>
    <w:p>
      <w:pPr>
        <w:pStyle w:val="ListNumber"/>
        <w:spacing w:line="240" w:lineRule="auto"/>
        <w:ind w:left="720"/>
      </w:pPr>
      <w:r/>
      <w:hyperlink r:id="rId11">
        <w:r>
          <w:rPr>
            <w:color w:val="0000EE"/>
            <w:u w:val="single"/>
          </w:rPr>
          <w:t>https://www.epwealth.com/lgbtq-financial-planning-guide</w:t>
        </w:r>
      </w:hyperlink>
      <w:r>
        <w:t xml:space="preserve"> - EP Wealth Advisors provides a guide on LGBTQ+ financial planning, addressing estate planning, considerations for children, asset titling, and planning for later life. The guide aims to assist individuals and families in making informed decisions for their future, acknowledging the complexities introduced by new and changing laws, intricate family structures, and other factors specific to the LGBTQ+ community. EP Wealth Advisors has been helping clients manage their financial decisions since 1999, offering a fee-only approach and fiduciary responsibility to act in clients' best interests.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epwealth.com/blog/lbgtq-considerations-for-asset-ownership-and-titling" TargetMode="External"/><Relationship Id="rId10" Type="http://schemas.openxmlformats.org/officeDocument/2006/relationships/hyperlink" Target="https://www.kiplinger.com/retirement/retirement-planning/how-lgbtq-couples-can-bridge-the-financial-planning-gap" TargetMode="External"/><Relationship Id="rId11" Type="http://schemas.openxmlformats.org/officeDocument/2006/relationships/hyperlink" Target="https://www.epwealth.com/lgbtq-financial-planning-guide" TargetMode="External"/><Relationship Id="rId12" Type="http://schemas.openxmlformats.org/officeDocument/2006/relationships/hyperlink" Target="https://www.justia.com/lgbtq/estate-planning/" TargetMode="External"/><Relationship Id="rId13" Type="http://schemas.openxmlformats.org/officeDocument/2006/relationships/hyperlink" Target="https://www.financial-advisors-for-lgbtq.com/guides/lgbtq-advanced-estate-planning/" TargetMode="External"/><Relationship Id="rId14" Type="http://schemas.openxmlformats.org/officeDocument/2006/relationships/hyperlink" Target="https://www.aequitasfp.com/lgbtq-estate-planning-seattle" TargetMode="External"/><Relationship Id="rId15" Type="http://schemas.openxmlformats.org/officeDocument/2006/relationships/hyperlink" Target="https://www.prideplans.com/packag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