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Data on LGBTIQ+ Migrants: Why Visibility Matters for Safety and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the experiences of LGBTIQ+ people on the move reveals gaps that cost lives; rights groups and researchers warn that better, safer data collection is urgent if governments and aid agencies are to prevent abuse, design services, and protect people fleeing persecution.</w:t>
      </w:r>
      <w:r/>
    </w:p>
    <w:p>
      <w:r/>
      <w:r>
        <w:t>Essential Takeaways</w:t>
      </w:r>
      <w:r/>
      <w:r/>
    </w:p>
    <w:p>
      <w:pPr>
        <w:pStyle w:val="ListBullet"/>
        <w:spacing w:line="240" w:lineRule="auto"/>
        <w:ind w:left="720"/>
      </w:pPr>
      <w:r/>
      <w:r>
        <w:rPr>
          <w:b/>
        </w:rPr>
        <w:t>Hidden populations:</w:t>
      </w:r>
      <w:r>
        <w:t xml:space="preserve"> Criminalisation and persecution make many LGBTIQ+ migrants invisible, so official figures undercount real needs. </w:t>
      </w:r>
      <w:r/>
    </w:p>
    <w:p>
      <w:pPr>
        <w:pStyle w:val="ListBullet"/>
        <w:spacing w:line="240" w:lineRule="auto"/>
        <w:ind w:left="720"/>
      </w:pPr>
      <w:r/>
      <w:r>
        <w:rPr>
          <w:b/>
        </w:rPr>
        <w:t>Reporting risk:</w:t>
      </w:r>
      <w:r>
        <w:t xml:space="preserve"> People often won’t report abuse at borders or in camps because disclosure can bring detention, violence or deportation. </w:t>
      </w:r>
      <w:r/>
    </w:p>
    <w:p>
      <w:pPr>
        <w:pStyle w:val="ListBullet"/>
        <w:spacing w:line="240" w:lineRule="auto"/>
        <w:ind w:left="720"/>
      </w:pPr>
      <w:r/>
      <w:r>
        <w:rPr>
          <w:b/>
        </w:rPr>
        <w:t>Data weaknesses:</w:t>
      </w:r>
      <w:r>
        <w:t xml:space="preserve"> Lack of political will, funding and technical capacity means limited comparable, usable data across countries. </w:t>
      </w:r>
      <w:r/>
    </w:p>
    <w:p>
      <w:pPr>
        <w:pStyle w:val="ListBullet"/>
        <w:spacing w:line="240" w:lineRule="auto"/>
        <w:ind w:left="720"/>
      </w:pPr>
      <w:r/>
      <w:r>
        <w:rPr>
          <w:b/>
        </w:rPr>
        <w:t>Consequences:</w:t>
      </w:r>
      <w:r>
        <w:t xml:space="preserve"> Without good evidence, policy and services miss trans, intersex and gender-diverse people and women and girls of diverse SOGIESC. </w:t>
      </w:r>
      <w:r/>
    </w:p>
    <w:p>
      <w:pPr>
        <w:pStyle w:val="ListBullet"/>
        <w:spacing w:line="240" w:lineRule="auto"/>
        <w:ind w:left="720"/>
      </w:pPr>
      <w:r/>
      <w:r>
        <w:rPr>
          <w:b/>
        </w:rPr>
        <w:t>Practical fix:</w:t>
      </w:r>
      <w:r>
        <w:t xml:space="preserve"> Safe, confidential and community-led data collection paired with legal safeguards improves protection and service delivery.</w:t>
      </w:r>
      <w:r/>
      <w:r/>
    </w:p>
    <w:p>
      <w:pPr>
        <w:pStyle w:val="Heading2"/>
      </w:pPr>
      <w:r>
        <w:t>Why the data gap feels personal and urgent</w:t>
      </w:r>
      <w:r/>
    </w:p>
    <w:p>
      <w:r/>
      <w:r>
        <w:t>The clearest fact is also the simplest: if people are too afraid to identify, they won’t show up in statistics, and their needs won’t shape responses. That fear is a physical thing , hushed conversations, refusal to answer questions, a quick flinch when officials ask about family or partners. According to rights groups and researchers, criminalisation and routine persecution drive that silence, and that makes the true scale and shape of migration invisible.</w:t>
      </w:r>
      <w:r/>
    </w:p>
    <w:p>
      <w:r/>
      <w:r>
        <w:t>The result is predictable and stark. Humanitarian programmes, border procedures and legal routes are designed with incomplete maps, so protections miss the people who need them most. It’s not just about numbers; it’s about who gets shelter, who gets legal aid, and who is left at risk of violence or exploitation.</w:t>
      </w:r>
      <w:r/>
    </w:p>
    <w:p>
      <w:pPr>
        <w:pStyle w:val="Heading2"/>
      </w:pPr>
      <w:r>
        <w:t>How laws and politics block better information</w:t>
      </w:r>
      <w:r/>
    </w:p>
    <w:p>
      <w:r/>
      <w:r>
        <w:t>Laws that penalise same-sex relations or gender diversity create chilling effects on data collection. Where being open can mean arrest or worse, migrants, witnesses and service providers understandably clam up. Meanwhile, governments and donors often lack the will or funds to invest in the specialised surveys and training that would yield reliable, comparable data across countries.</w:t>
      </w:r>
      <w:r/>
    </w:p>
    <w:p>
      <w:r/>
      <w:r>
        <w:t>This isn’t merely a technical gap. It's political. Organisations working with LGBTIQ+ people repeatedly report low investment in sex, gender and orientation disaggregation, and few incentives for states to collect or publish that information. The practical upshot is that policy debates proceed on guesswork rather than evidence.</w:t>
      </w:r>
      <w:r/>
    </w:p>
    <w:p>
      <w:pPr>
        <w:pStyle w:val="Heading2"/>
      </w:pPr>
      <w:r>
        <w:t>What researchers and advocates suggest , safer, smarter data gathering</w:t>
      </w:r>
      <w:r/>
    </w:p>
    <w:p>
      <w:r/>
      <w:r>
        <w:t>Experts recommend approaches that centre safety and consent. That means anonymous, confidential reporting channels; community-led surveys where trust already exists; and training for enumerators to avoid harm. It also means insisting that data collection never increases risks , so legal protections, non-refoulement guarantees and confidentiality are prerequisites, not afterthoughts.</w:t>
      </w:r>
      <w:r/>
    </w:p>
    <w:p>
      <w:r/>
      <w:r>
        <w:t>From a practical perspective, simple changes help. Use neutral language in forms, offer non-binary options, separate SOGIESC questions from immigration enforcement, and pair data collection with immediate referrals to support services. These steps improve both quality and uptake.</w:t>
      </w:r>
      <w:r/>
    </w:p>
    <w:p>
      <w:pPr>
        <w:pStyle w:val="Heading2"/>
      </w:pPr>
      <w:r>
        <w:t>Why visibility must include diversity within LGBTIQ+ communities</w:t>
      </w:r>
      <w:r/>
    </w:p>
    <w:p>
      <w:r/>
      <w:r>
        <w:t>Too often, data lumps everyone together under an umbrella and misses important differences. Transgender, intersex, gender-diverse people, and women and girls of diverse sexual orientations face specific threats at borders, in detention and in workplaces. Without disaggregated data, those patterns remain concealed and policies fail to target them.</w:t>
      </w:r>
      <w:r/>
    </w:p>
    <w:p>
      <w:r/>
      <w:r>
        <w:t>Humanitarian actors and governments need to track experiences at every migration stage , origin, transit, borders, reception and integration , so responses can be tailored. That means investing in finer-grained surveys and listening to community organisations who know which abuses are most frequent and which protections actually work.</w:t>
      </w:r>
      <w:r/>
    </w:p>
    <w:p>
      <w:pPr>
        <w:pStyle w:val="Heading2"/>
      </w:pPr>
      <w:r>
        <w:t>What this means for policy and practice going forward</w:t>
      </w:r>
      <w:r/>
    </w:p>
    <w:p>
      <w:r/>
      <w:r>
        <w:t>Collecting better data is not a neutral exercise; it’s a defensive strategy. When data reliably shows patterns of abuse or exclusion, advocacy can demand change: safer reception centres, non-discriminatory work policies, and accountability for rights violations. Donors should fund both the technical work of measurement and the legal and protection frameworks that make honest reporting safe.</w:t>
      </w:r>
      <w:r/>
    </w:p>
    <w:p>
      <w:r/>
      <w:r>
        <w:t>For practitioners on the ground, the immediate priority is trust-building. Work with local LGBTIQ+ networks, make reporting safe, and ensure data collection translates into visible, practical services. Over time, comparably collected evidence can shift public debate and policy.</w:t>
      </w:r>
      <w:r/>
    </w:p>
    <w:p>
      <w:r/>
      <w:r>
        <w:t>It's a small but essential shift: make people safe to be counted, and you make them safer in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[7]</w:t>
        </w:r>
      </w:hyperlink>
      <w:r>
        <w:t xml:space="preserve">- Paragraph 4: </w:t>
      </w:r>
      <w:hyperlink r:id="rId13">
        <w:r>
          <w:rPr>
            <w:color w:val="0000EE"/>
            <w:u w:val="single"/>
          </w:rPr>
          <w:t>[6]</w:t>
        </w:r>
      </w:hyperlink>
      <w:r>
        <w:t xml:space="preserve">, </w:t>
      </w:r>
      <w:hyperlink r:id="rId11">
        <w:r>
          <w:rPr>
            <w:color w:val="0000EE"/>
            <w:u w:val="single"/>
          </w:rPr>
          <w:t>[3]</w:t>
        </w:r>
      </w:hyperlink>
      <w:r>
        <w:t xml:space="preserve">- Paragraph 5: </w:t>
      </w:r>
      <w:hyperlink r:id="rId12">
        <w:r>
          <w:rPr>
            <w:color w:val="0000EE"/>
            <w:u w:val="single"/>
          </w:rPr>
          <w:t>[5]</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https://www.unwomen.org/en/news-stories/explainer/2024/06/in-search-of-safety-lgbtiq-people-on-the-move</w:t>
        </w:r>
      </w:hyperlink>
      <w:r>
        <w:t xml:space="preserve"> - Please view link - unable to able to access data</w:t>
      </w:r>
      <w:r/>
    </w:p>
    <w:p>
      <w:pPr>
        <w:pStyle w:val="ListNumber"/>
        <w:spacing w:line="240" w:lineRule="auto"/>
        <w:ind w:left="720"/>
      </w:pPr>
      <w:r/>
      <w:hyperlink r:id="rId9">
        <w:r>
          <w:rPr>
            <w:color w:val="0000EE"/>
            <w:u w:val="single"/>
          </w:rPr>
          <w:t>https://www.unwomen.org/en/news-stories/explainer/2024/06/in-search-of-safety-lgbtiq-people-on-the-move</w:t>
        </w:r>
      </w:hyperlink>
      <w:r>
        <w:t xml:space="preserve"> - This UN Women article discusses the heightened risks faced by LGBTIQ+ migrants due to the criminalisation and persecution of diverse sexual orientations, gender identities, expressions, and sex characteristics (SOGIESC) in many countries. It highlights the lack of comprehensive data on LGBTIQ+ migrants, attributing it to the dangers associated with identifying as LGBTIQ+ and the insufficient political will and resources for data collection. Consequently, the experiences of LGBTIQ+ migrants, including transgender, intersex, gender-diverse individuals, and women and girls of diverse SOGIESC, remain largely invisible, and the human rights violations they encounter often continue with impunity. The article also notes that the need for citizen-reported data on human rights violations against LGBTIQ+ migrants is unmet, as migrants and bystanders may not feel safe to report such incidents.</w:t>
      </w:r>
      <w:r/>
    </w:p>
    <w:p>
      <w:pPr>
        <w:pStyle w:val="ListNumber"/>
        <w:spacing w:line="240" w:lineRule="auto"/>
        <w:ind w:left="720"/>
      </w:pPr>
      <w:r/>
      <w:hyperlink r:id="rId11">
        <w:r>
          <w:rPr>
            <w:color w:val="0000EE"/>
            <w:u w:val="single"/>
          </w:rPr>
          <w:t>https://www.mdpi.com/1660-4601/19/2/869</w:t>
        </w:r>
      </w:hyperlink>
      <w:r>
        <w:t xml:space="preserve"> - This systematic review examines the health, safety, and well-being of LGBTQI+ migrants during migration. It identifies five common themes: daily exposure to discrimination, harassment, and violence; coping, social support, and resilience; access to services; mental health; and physical and sexual health. The review highlights that depression, anxiety, and post-traumatic stress disorder (PTSD) are prevalent among LGBTQI+ migrants, particularly in detention or camp environments, and are exacerbated by social isolation. Barriers to accessing healthcare are identified, with specific sexual health services often lacking, especially for transgender individuals. The study underscores the double marginalisation faced by LGBTQI+ migrants due to their migrant status and gender identity, emphasising the need for tailored services to address their unique health and protection needs.</w:t>
      </w:r>
      <w:r/>
    </w:p>
    <w:p>
      <w:pPr>
        <w:pStyle w:val="ListNumber"/>
        <w:spacing w:line="240" w:lineRule="auto"/>
        <w:ind w:left="720"/>
      </w:pPr>
      <w:r/>
      <w:hyperlink r:id="rId14">
        <w:r>
          <w:rPr>
            <w:color w:val="0000EE"/>
            <w:u w:val="single"/>
          </w:rPr>
          <w:t>https://www.amnesty.org/en/latest/news/2025/12/estados-unidos-nuevas-investigaciones-revelan-violaciones-de-derechos-humanos-en-los-centros-de-detencion-de-alligator-alcatraz-y-krome-en-florida/</w:t>
        </w:r>
      </w:hyperlink>
      <w:r>
        <w:t xml:space="preserve"> - Amnesty International's report reveals human rights violations at Florida's Everglades Detention Facility ('Alligator Alcatraz') and the Krome North Service Processing Center. The findings document cruel, inhuman, and degrading treatment, amounting to torture in some cases, within an increasingly hostile anti-immigrant climate in Florida. The report highlights the deliberate system built to punish, dehumanise, and conceal the suffering of people in detention, particularly migrants and individuals seeking safety. The research underscores the urgent need for accountability and reform in the treatment of detainees in these facilities.</w:t>
      </w:r>
      <w:r/>
    </w:p>
    <w:p>
      <w:pPr>
        <w:pStyle w:val="ListNumber"/>
        <w:spacing w:line="240" w:lineRule="auto"/>
        <w:ind w:left="720"/>
      </w:pPr>
      <w:r/>
      <w:hyperlink r:id="rId12">
        <w:r>
          <w:rPr>
            <w:color w:val="0000EE"/>
            <w:u w:val="single"/>
          </w:rPr>
          <w:t>https://pmc.ncbi.nlm.nih.gov/articles/PMC10092230/</w:t>
        </w:r>
      </w:hyperlink>
      <w:r>
        <w:t xml:space="preserve"> - This meta-synthesis of qualitative reports explores the post-migration psychosocial experiences and challenges faced by LGBTQ+ forced migrants. It identifies four broad themes linked to distress and mental health challenges: discrimination or violence, coping mechanisms, social support, and resilience. The synthesis highlights that LGBTQ+ forced migrants often experience violence and discrimination both before and after migration, leading to significant mental health issues. The study emphasises the need for comprehensive support systems to address the unique challenges faced by this population during resettlement.</w:t>
      </w:r>
      <w:r/>
    </w:p>
    <w:p>
      <w:pPr>
        <w:pStyle w:val="ListNumber"/>
        <w:spacing w:line="240" w:lineRule="auto"/>
        <w:ind w:left="720"/>
      </w:pPr>
      <w:r/>
      <w:hyperlink r:id="rId13">
        <w:r>
          <w:rPr>
            <w:color w:val="0000EE"/>
            <w:u w:val="single"/>
          </w:rPr>
          <w:t>https://pubmed.ncbi.nlm.nih.gov/37155930/</w:t>
        </w:r>
      </w:hyperlink>
      <w:r>
        <w:t xml:space="preserve"> - This study examines the persecution and migration experiences of LGBTQ+ asylum seekers. It finds that participants experienced high rates of physical assault (92.4%), harassment and intimidation (84.8%), and sexual assault (56.1%). Psychological sequelae included symptoms of post-traumatic stress disorder (PTSD; 83.3%), depression (72.7%), and anxiety (57.6%). The study underscores the severe human rights violations faced by LGBTQ+ individuals during migration and the critical need for protective measures and support systems to address their mental health and safety.</w:t>
      </w:r>
      <w:r/>
    </w:p>
    <w:p>
      <w:pPr>
        <w:pStyle w:val="ListNumber"/>
        <w:spacing w:line="240" w:lineRule="auto"/>
        <w:ind w:left="720"/>
      </w:pPr>
      <w:r/>
      <w:hyperlink r:id="rId10">
        <w:r>
          <w:rPr>
            <w:color w:val="0000EE"/>
            <w:u w:val="single"/>
          </w:rPr>
          <w:t>https://www.wola.org/analysis/key-facts-experience-lgbtiq-migrants/</w:t>
        </w:r>
      </w:hyperlink>
      <w:r>
        <w:t xml:space="preserve"> - This analysis by the Washington Office on Latin America (WOLA) highlights the unique challenges faced by LGBTIQ+ migrants, particularly in the United States. It reports that LGBTIQ+ migrants routinely suffer abuse at the hands of U.S. border and migration authorities, especially while in custody. A 2024 report by Immigration Equality found that one-third of detained or formerly detained LGBTIQ+ or HIV-positive individuals reported sexual abuse, physical assaults, or sexual harassment while in ICE or CBP custody. The analysis emphasises the systemic nature of abuse and the urgent need for reforms to protect LGBTIQ+ migrants.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women.org/en/news-stories/explainer/2024/06/in-search-of-safety-lgbtiq-people-on-the-move" TargetMode="External"/><Relationship Id="rId10" Type="http://schemas.openxmlformats.org/officeDocument/2006/relationships/hyperlink" Target="https://www.wola.org/analysis/key-facts-experience-lgbtiq-migrants/" TargetMode="External"/><Relationship Id="rId11" Type="http://schemas.openxmlformats.org/officeDocument/2006/relationships/hyperlink" Target="https://www.mdpi.com/1660-4601/19/2/869" TargetMode="External"/><Relationship Id="rId12" Type="http://schemas.openxmlformats.org/officeDocument/2006/relationships/hyperlink" Target="https://pmc.ncbi.nlm.nih.gov/articles/PMC10092230/" TargetMode="External"/><Relationship Id="rId13" Type="http://schemas.openxmlformats.org/officeDocument/2006/relationships/hyperlink" Target="https://pubmed.ncbi.nlm.nih.gov/37155930/" TargetMode="External"/><Relationship Id="rId14" Type="http://schemas.openxmlformats.org/officeDocument/2006/relationships/hyperlink" Target="https://www.amnesty.org/en/latest/news/2025/12/estados-unidos-nuevas-investigaciones-revelan-violaciones-de-derechos-humanos-en-los-centros-de-detencion-de-alligator-alcatraz-y-krome-en-flori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