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Think About “Instrumentalisation” in Queer Grief and Security Debates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grief quickly becomes policy talk: community groups are urging counselling and solidarity after violent attacks, while major queer organisations and antiviolence projects in Germany warn against “instrumentalisation” , a debate that matters because it shapes who gets protection, whose voices count, and which solutions we accept.</w:t>
      </w:r>
      <w:r/>
    </w:p>
    <w:p>
      <w:r/>
      <w:r>
        <w:t>Essential takeaways</w:t>
      </w:r>
      <w:r/>
      <w:r/>
    </w:p>
    <w:p>
      <w:pPr>
        <w:pStyle w:val="ListBullet"/>
        <w:spacing w:line="240" w:lineRule="auto"/>
        <w:ind w:left="720"/>
      </w:pPr>
      <w:r/>
      <w:r>
        <w:rPr>
          <w:b/>
        </w:rPr>
        <w:t>Who’s advising whom:</w:t>
      </w:r>
      <w:r>
        <w:t xml:space="preserve"> Major German queer bodies like the LSVD and Berlin’s Maneo are frontline resources for counselling and antiviolence work, and they publicly caution against using tragedy to score political points. </w:t>
      </w:r>
      <w:r/>
    </w:p>
    <w:p>
      <w:pPr>
        <w:pStyle w:val="ListBullet"/>
        <w:spacing w:line="240" w:lineRule="auto"/>
        <w:ind w:left="720"/>
      </w:pPr>
      <w:r/>
      <w:r>
        <w:rPr>
          <w:b/>
        </w:rPr>
        <w:t>Instrumentalisation is contested:</w:t>
      </w:r>
      <w:r>
        <w:t xml:space="preserve"> The term is widely used but often left vague; it can mean different things , from politicising a death to stoking anti-Muslim sentiment. </w:t>
      </w:r>
      <w:r/>
    </w:p>
    <w:p>
      <w:pPr>
        <w:pStyle w:val="ListBullet"/>
        <w:spacing w:line="240" w:lineRule="auto"/>
        <w:ind w:left="720"/>
      </w:pPr>
      <w:r/>
      <w:r>
        <w:rPr>
          <w:b/>
        </w:rPr>
        <w:t>Historic shift:</w:t>
      </w:r>
      <w:r>
        <w:t xml:space="preserve"> Scholars trace a long pattern where homophobia has been reframed as a racialised problem, with “Muslim” communities frequently cast as the source. </w:t>
      </w:r>
      <w:r/>
    </w:p>
    <w:p>
      <w:pPr>
        <w:pStyle w:val="ListBullet"/>
        <w:spacing w:line="240" w:lineRule="auto"/>
        <w:ind w:left="720"/>
      </w:pPr>
      <w:r/>
      <w:r>
        <w:rPr>
          <w:b/>
        </w:rPr>
        <w:t>Policy consequences:</w:t>
      </w:r>
      <w:r>
        <w:t xml:space="preserve"> Calls for hate‑crime law and policing reforms are popular responses, but critics warn these can deepen criminalisation and marginalisation. </w:t>
      </w:r>
      <w:r/>
    </w:p>
    <w:p>
      <w:pPr>
        <w:pStyle w:val="ListBullet"/>
        <w:spacing w:line="240" w:lineRule="auto"/>
        <w:ind w:left="720"/>
      </w:pPr>
      <w:r/>
      <w:r>
        <w:rPr>
          <w:b/>
        </w:rPr>
        <w:t>Practical choice:</w:t>
      </w:r>
      <w:r>
        <w:t xml:space="preserve"> Supporting local counselling and community-led prevention, while scrutinising who benefits from law-and-order fixes, is a pragmatic middle path.</w:t>
      </w:r>
      <w:r/>
      <w:r/>
    </w:p>
    <w:p>
      <w:pPr>
        <w:pStyle w:val="Heading2"/>
      </w:pPr>
      <w:r>
        <w:t>Why “instrumentalisation” feels like an accusation and a shield</w:t>
      </w:r>
      <w:r/>
    </w:p>
    <w:p>
      <w:r/>
      <w:r>
        <w:t>The word lands heavy: it suggests someone is using pain for gain, and it smells faintly of moral gatekeeping. Community groups such as the LSVD have urged restraint, pointing people to counselling and safety resources while warning against dividing the community. According to LSVD materials, that impulse to prevent division leans on trying to hold grief as a collective, not a political plaything. But the warning also functions as a shield , it can be used to shut down certain critiques or to demand unity before people have processed their anger.</w:t>
      </w:r>
      <w:r/>
    </w:p>
    <w:p>
      <w:r/>
      <w:r>
        <w:t>This is important because how we name the problem affects the remedy. If the response is framed as “instrumentalisation,” we risk prioritising cohesion over accountability. Meanwhile, if we over-index on assigning blame, we may open the door to securitised, punitive fixes that hurt the very communities we want to protect.</w:t>
      </w:r>
      <w:r/>
    </w:p>
    <w:p>
      <w:pPr>
        <w:pStyle w:val="Heading2"/>
      </w:pPr>
      <w:r>
        <w:t>The politics behind the phrase: who gets called out</w:t>
      </w:r>
      <w:r/>
    </w:p>
    <w:p>
      <w:r/>
      <w:r>
        <w:t>In practice, warnings about instrumentalisation often point at two targets: far‑right actors looking to stoke Islamophobia, and those within queer or left circles whose race- or migration-related critiques complicate easier narratives. Organisations such as the LSVD and projects like Maneo have long been visible in Berlin’s public conversation about queer safety and antiviolence, offering support and public campaigns.</w:t>
      </w:r>
      <w:r/>
    </w:p>
    <w:p>
      <w:r/>
      <w:r>
        <w:t>But critics note a double movement. The same groups that call out “instrumentalisation” have at times helped shift the conversation so that homophobia is read through a racial lens , portraying supposed migrant or Muslim communities as sites of deviance. That framing can feed into policing or exclusionary rhetoric if we’re not careful, so the accusation of instrumentalising grief deserves scrutiny rather than automatic acceptance.</w:t>
      </w:r>
      <w:r/>
    </w:p>
    <w:p>
      <w:pPr>
        <w:pStyle w:val="Heading2"/>
      </w:pPr>
      <w:r>
        <w:t>From love posters to hate‑crime laws: how narratives hardened into policy</w:t>
      </w:r>
      <w:r/>
    </w:p>
    <w:p>
      <w:r/>
      <w:r>
        <w:t>If you look back at public campaigns and policy shifts, you can spot a pattern: cultural interventions , colourful posters, visibility drives, local demonstrations , were followed by a push for legal solutions like hate‑crime statutes. The LSVD ran high‑visibility campaigns aimed at integrating messages of queer respect into diverse neighbourhoods, while Maneo focused on violence prevention on the ground.</w:t>
      </w:r>
      <w:r/>
    </w:p>
    <w:p>
      <w:r/>
      <w:r>
        <w:t>Hate‑crime frameworks offer recognition and legal recourse, but they also pivot the debate towards crime and punishment. That matters because, as critics argue, criminalisation tends to sit comfortably within broader state projects that use policing and surveillance as quick fixes for social problems, particularly when those problems are racialised.</w:t>
      </w:r>
      <w:r/>
    </w:p>
    <w:p>
      <w:pPr>
        <w:pStyle w:val="Heading2"/>
      </w:pPr>
      <w:r>
        <w:t>What community‑led safety looks like instead of top‑down fixes</w:t>
      </w:r>
      <w:r/>
    </w:p>
    <w:p>
      <w:r/>
      <w:r>
        <w:t>Practical safety work in queer spaces can and does look different. Organisations that specialise in antiviolence prevention emphasise de‑escalation training, safe‑space initiatives, and mental‑health support for survivors , approaches that don’t automatically funnel into policing. Maneo’s work, for instance, mixes counselling, outreach, and prevention in ways that keep attention on people, not just prosecutions.</w:t>
      </w:r>
      <w:r/>
    </w:p>
    <w:p>
      <w:r/>
      <w:r>
        <w:t>If you’re choosing where to volunteer, donate, or push for policy, ask: does this approach centre survivors and local communities, or does it mainly expand criminal‑justice responses? Supporting low‑barrier counselling, community patrols organised by locals, and education in nightlife venues can reduce harm without strengthening carceral systems.</w:t>
      </w:r>
      <w:r/>
    </w:p>
    <w:p>
      <w:pPr>
        <w:pStyle w:val="Heading2"/>
      </w:pPr>
      <w:r>
        <w:t>How to talk about this without shutting down grief or nuance</w:t>
      </w:r>
      <w:r/>
    </w:p>
    <w:p>
      <w:r/>
      <w:r>
        <w:t>Language matters. When community leaders say “don’t instrumentalise,” that can be a plea for shared mourning and to avoid polarising rhetoric. But it can also be a way to silence uncomfortable truths about racialisation and state responses. A more useful stance recognises both: validate grief and also open space for critique about how responses may reproduce injustice.</w:t>
      </w:r>
      <w:r/>
    </w:p>
    <w:p>
      <w:r/>
      <w:r>
        <w:t>At a personal level, listen before you legislate. At an organisational level, demand transparency about why certain policies are promoted and who stands to gain. And at a civic level, be wary of quick turns to policing as the only solution , prevention, services, and accountability need to travel together.</w:t>
      </w:r>
      <w:r/>
    </w:p>
    <w:p>
      <w:r/>
      <w:r>
        <w:t>It's a small change to how we talk that can make every policy and protest a little more thoughtful.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Paragraph 5: </w:t>
      </w:r>
      <w:hyperlink r:id="rId13">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https://spectrejournal.com/what-are-we-mourning-now/</w:t>
        </w:r>
      </w:hyperlink>
      <w:r>
        <w:t xml:space="preserve"> - Please view link - unable to able to access data</w:t>
      </w:r>
      <w:r/>
    </w:p>
    <w:p>
      <w:pPr>
        <w:pStyle w:val="ListNumber"/>
        <w:spacing w:line="240" w:lineRule="auto"/>
        <w:ind w:left="720"/>
      </w:pPr>
      <w:r/>
      <w:hyperlink r:id="rId10">
        <w:r>
          <w:rPr>
            <w:color w:val="0000EE"/>
            <w:u w:val="single"/>
          </w:rPr>
          <w:t>https://www.lsvd.de/de/</w:t>
        </w:r>
      </w:hyperlink>
      <w:r>
        <w:t xml:space="preserve"> - The LSVD⁺ – Federation Queer Diversity is Germany's largest non-governmental LGBTQ rights organisation, representing the interests of queer individuals in politics, media, and society. Founded in 1990, it has been instrumental in advocating for same-sex marriage and continues to campaign for equal rights and self-determination for the queer community. The organisation also focuses on strengthening democracy and supports human rights defenders globally. As a member of the International Lesbian, Gay, Bisexual, Trans and Intersex Organization (ILGA), LSVD⁺ is active both nationally and internationally, contributing to the global representation of queer interests.</w:t>
      </w:r>
      <w:r/>
    </w:p>
    <w:p>
      <w:pPr>
        <w:pStyle w:val="ListNumber"/>
        <w:spacing w:line="240" w:lineRule="auto"/>
        <w:ind w:left="720"/>
      </w:pPr>
      <w:r/>
      <w:hyperlink r:id="rId11">
        <w:r>
          <w:rPr>
            <w:color w:val="0000EE"/>
            <w:u w:val="single"/>
          </w:rPr>
          <w:t>https://maneo.de/maneo-arbeit/</w:t>
        </w:r>
      </w:hyperlink>
      <w:r>
        <w:t xml:space="preserve"> - MANEO – The Gay Anti-Violence Project in Berlin, established in 1990, is Germany's oldest and most experienced anti-violence project of its kind. Operating as an independent project of Mann-O-Meter e.V., MANEO focuses on four key areas: victim support, reporting centre, violence prevention, and empowerment. It offers services to gay and bisexual men residing in or temporarily staying in Berlin, as well as to those who have been victims or witnesses of discrimination and violent crimes outside the city. MANEO is funded in part by the Berlin Senate Department for Justice, Consumer Protection, and Anti-Discrimination.</w:t>
      </w:r>
      <w:r/>
    </w:p>
    <w:p>
      <w:pPr>
        <w:pStyle w:val="ListNumber"/>
        <w:spacing w:line="240" w:lineRule="auto"/>
        <w:ind w:left="720"/>
      </w:pPr>
      <w:r/>
      <w:hyperlink r:id="rId12">
        <w:r>
          <w:rPr>
            <w:color w:val="0000EE"/>
            <w:u w:val="single"/>
          </w:rPr>
          <w:t>https://maneo.de/maneo-arbeit/gewaltpraevention/</w:t>
        </w:r>
      </w:hyperlink>
      <w:r>
        <w:t xml:space="preserve"> - MANEO's violence prevention efforts aim to raise awareness about homophobic violence, inform about its consequences, and sensitise individuals to associated risks and dangers. The organisation highlights instances of homophobic violence against LGBTQ+ individuals and publishes an annual MANEO Report. MANEO collaborates with networks and alliances, including businesses, associations, and public institutions, recognising that combating LGBTQ+ phobic violence is a societal challenge that requires collective action.</w:t>
      </w:r>
      <w:r/>
    </w:p>
    <w:p>
      <w:pPr>
        <w:pStyle w:val="ListNumber"/>
        <w:spacing w:line="240" w:lineRule="auto"/>
        <w:ind w:left="720"/>
      </w:pPr>
      <w:r/>
      <w:hyperlink r:id="rId13">
        <w:r>
          <w:rPr>
            <w:color w:val="0000EE"/>
            <w:u w:val="single"/>
          </w:rPr>
          <w:t>https://www.lsvd.de/de/ct/423-Gegen-LSBTIQ*-Feindlichkeit-Nationaler-Aktionsplan-fuer-Akzeptanz-sexueller-und-geschlechtlicher-Vielfalt</w:t>
        </w:r>
      </w:hyperlink>
      <w:r>
        <w:t xml:space="preserve"> - The LSVD⁺ has long advocated for an effective National Action Plan against LGBTQI+ hostility and for the acceptance of sexual and gender diversity. The organisation calls for clear, time-defined goals, binding commitments from relevant state authorities, and adequate funding for the prevention and combatting of homophobia and transphobia. In the coalition agreement of the federal government, a cross-departmental National Action Plan for the acceptance and protection of sexual and gender diversity was promised and presented in November 2022.</w:t>
      </w:r>
      <w:r/>
    </w:p>
    <w:p>
      <w:pPr>
        <w:pStyle w:val="ListNumber"/>
        <w:spacing w:line="240" w:lineRule="auto"/>
        <w:ind w:left="720"/>
      </w:pPr>
      <w:r/>
      <w:hyperlink r:id="rId14">
        <w:r>
          <w:rPr>
            <w:color w:val="0000EE"/>
            <w:u w:val="single"/>
          </w:rPr>
          <w:t>https://www.lsvd.de/de/ct/599-Von-Geschlechtsumwandlungen-und-Schwulenehe-Mediale-Darstellung-von-LSBTI</w:t>
        </w:r>
      </w:hyperlink>
      <w:r>
        <w:t xml:space="preserve"> - The LSVD⁺ addresses the media's portrayal of lesbian, gay, bisexual, and trans individuals, highlighting issues such as invisibility and exoticisation. The organisation notes that LGBTQI+ people are rarely represented in media, and when they are, they are often depicted through stereotypes and clichés. The LSVD⁺ collaborates with other organisations to discuss and address these challenges, aiming to improve the media representation of LGBTQI+ individuals.</w:t>
      </w:r>
      <w:r/>
    </w:p>
    <w:p>
      <w:pPr>
        <w:pStyle w:val="ListNumber"/>
        <w:spacing w:line="240" w:lineRule="auto"/>
        <w:ind w:left="720"/>
      </w:pPr>
      <w:r/>
      <w:hyperlink r:id="rId15">
        <w:r>
          <w:rPr>
            <w:color w:val="0000EE"/>
            <w:u w:val="single"/>
          </w:rPr>
          <w:t>https://rainbow-wool.eu/LSVD/</w:t>
        </w:r>
      </w:hyperlink>
      <w:r>
        <w:t xml:space="preserve"> - LSVD⁺ (Federation Queer Diversity) is Germany's largest NGO representing the interests of queer people in politics, media, and society. The association has been instrumental in achieving marriage equality, campaigns for equal rights and self-determination for the queer community, and continues to fight for more recognition and acceptance. It is also committed to strengthening democracy and supports human rights defenders in the Global South and Eastern Europe. As a member of the International Lesbian, Gay, Bisexual, Trans and Intersex Organization (ILGA), LSVD⁺ is active both nationally and internationally, contributing to the global representation of queer interests.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pectrejournal.com/what-are-we-mourning-now/" TargetMode="External"/><Relationship Id="rId10" Type="http://schemas.openxmlformats.org/officeDocument/2006/relationships/hyperlink" Target="https://www.lsvd.de/de/" TargetMode="External"/><Relationship Id="rId11" Type="http://schemas.openxmlformats.org/officeDocument/2006/relationships/hyperlink" Target="https://maneo.de/maneo-arbeit/" TargetMode="External"/><Relationship Id="rId12" Type="http://schemas.openxmlformats.org/officeDocument/2006/relationships/hyperlink" Target="https://maneo.de/maneo-arbeit/gewaltpraevention/" TargetMode="External"/><Relationship Id="rId13" Type="http://schemas.openxmlformats.org/officeDocument/2006/relationships/hyperlink" Target="https://www.lsvd.de/de/ct/423-Gegen-LSBTIQ*-Feindlichkeit-Nationaler-Aktionsplan-fuer-Akzeptanz-sexueller-und-geschlechtlicher-Vielfalt" TargetMode="External"/><Relationship Id="rId14" Type="http://schemas.openxmlformats.org/officeDocument/2006/relationships/hyperlink" Target="https://www.lsvd.de/de/ct/599-Von-Geschlechtsumwandlungen-und-Schwulenehe-Mediale-Darstellung-von-LSBTI" TargetMode="External"/><Relationship Id="rId15" Type="http://schemas.openxmlformats.org/officeDocument/2006/relationships/hyperlink" Target="https://rainbow-wool.eu/LSV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