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Emergency Planning for LGBTIQ+ People After Natural Disasters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neighbours and aid workers are realising that emergency plans must recognise diverse families and identities , especially after Colombia’s recent earthquake , so the right help reaches everyone without delay or discrimination. This matters where shelters, documents and support networks can make recovery easier or much harder.</w:t>
      </w:r>
      <w:r/>
    </w:p>
    <w:p>
      <w:r/>
      <w:r>
        <w:t>Essential Takeaways</w:t>
      </w:r>
      <w:r/>
      <w:r/>
    </w:p>
    <w:p>
      <w:pPr>
        <w:pStyle w:val="ListBullet"/>
        <w:spacing w:line="240" w:lineRule="auto"/>
        <w:ind w:left="720"/>
      </w:pPr>
      <w:r/>
      <w:r>
        <w:rPr>
          <w:b/>
        </w:rPr>
        <w:t>Different needs:</w:t>
      </w:r>
      <w:r>
        <w:t xml:space="preserve"> LGBTIQ+ people often face additional barriers in shelters, paperwork and healthcare during disasters, so a one-size-fits-all response falls short.</w:t>
      </w:r>
      <w:r/>
    </w:p>
    <w:p>
      <w:pPr>
        <w:pStyle w:val="ListBullet"/>
        <w:spacing w:line="240" w:lineRule="auto"/>
        <w:ind w:left="720"/>
      </w:pPr>
      <w:r/>
      <w:r>
        <w:rPr>
          <w:b/>
        </w:rPr>
        <w:t>Practical gaps:</w:t>
      </w:r>
      <w:r>
        <w:t xml:space="preserve"> Missing or mismatched ID, separated partners, and interrupted medicines are common, everyday problems in crisis settings.</w:t>
      </w:r>
      <w:r/>
    </w:p>
    <w:p>
      <w:pPr>
        <w:pStyle w:val="ListBullet"/>
        <w:spacing w:line="240" w:lineRule="auto"/>
        <w:ind w:left="720"/>
      </w:pPr>
      <w:r/>
      <w:r>
        <w:rPr>
          <w:b/>
        </w:rPr>
        <w:t>Policy plus practice:</w:t>
      </w:r>
      <w:r>
        <w:t xml:space="preserve"> Protocols that list inclusive steps , private spaces, recognition of chosen families, and staff training , reduce harm and speed recovery.</w:t>
      </w:r>
      <w:r/>
    </w:p>
    <w:p>
      <w:pPr>
        <w:pStyle w:val="ListBullet"/>
        <w:spacing w:line="240" w:lineRule="auto"/>
        <w:ind w:left="720"/>
      </w:pPr>
      <w:r/>
      <w:r>
        <w:rPr>
          <w:b/>
        </w:rPr>
        <w:t>Simple fixes:</w:t>
      </w:r>
      <w:r>
        <w:t xml:space="preserve"> Clear intake forms, temporary ID measures, and liaison roles with community groups make shelters safer and easier to use.</w:t>
      </w:r>
      <w:r/>
    </w:p>
    <w:p>
      <w:pPr>
        <w:pStyle w:val="ListBullet"/>
        <w:spacing w:line="240" w:lineRule="auto"/>
        <w:ind w:left="720"/>
      </w:pPr>
      <w:r/>
      <w:r>
        <w:rPr>
          <w:b/>
        </w:rPr>
        <w:t>Why it matters:</w:t>
      </w:r>
      <w:r>
        <w:t xml:space="preserve"> If people fear discrimination, they avoid help , and that slows down whole-community recovery.</w:t>
      </w:r>
      <w:r/>
      <w:r/>
    </w:p>
    <w:p>
      <w:pPr>
        <w:pStyle w:val="Heading2"/>
      </w:pPr>
      <w:r>
        <w:t>Why identity matters when the earth shakes</w:t>
      </w:r>
      <w:r/>
    </w:p>
    <w:p>
      <w:r/>
      <w:r>
        <w:t>When a quake flattens a street, the shock is the same for everyone, but what comes next feels very different depending on who you are and who supports you. Survivors tell reporters and aid agencies that the quiet stress of filling forms, proving relationships or finding appropriate sanitary space can be as damaging as the tremor itself. According to reporting from El País and local groups, many Colombians affected by the recent earthquake are now wrestling with insurance queries, shelter placements and the slow churn of rebuilding, and those problems are worse when institutions don’t recognise diverse family structures or gender identities.</w:t>
      </w:r>
      <w:r/>
    </w:p>
    <w:p>
      <w:r/>
      <w:r>
        <w:t>Practical takeaway: emergency planners should assume diversity from the outset. That means designing intake processes that don’t force people to misgender themselves or choose a “traditional” family type to access aid.</w:t>
      </w:r>
      <w:r/>
    </w:p>
    <w:p>
      <w:pPr>
        <w:pStyle w:val="Heading2"/>
      </w:pPr>
      <w:r>
        <w:t>What goes wrong in shelters and aid distribution</w:t>
      </w:r>
      <w:r/>
    </w:p>
    <w:p>
      <w:r/>
      <w:r>
        <w:t>A common scene in post-disaster coverage is a crowded temporary shelter with curtained rows and volunteers doing their best. But without inclusive protocols, shelters can become sites of subtle or overt exclusion: trans people may be placed in incongruent sleeping areas, same-sex partners may struggle to be recognised as next-of-kin, and older LGBTIQ+ people who rely on chosen families can be treated as isolated. Colombia’s broader context , rising violence against LGBTI people as documented by human-rights groups , makes these everyday risks more acute.</w:t>
      </w:r>
      <w:r/>
    </w:p>
    <w:p>
      <w:r/>
      <w:r>
        <w:t>Practical step: create private sleeping and sanitary options, train staff on respectful language, and record “named contact” details that accept friends or partners as legitimate next-of-kin.</w:t>
      </w:r>
      <w:r/>
    </w:p>
    <w:p>
      <w:pPr>
        <w:pStyle w:val="Heading2"/>
      </w:pPr>
      <w:r>
        <w:t>IDs, medicines and the small things that stop recovery</w:t>
      </w:r>
      <w:r/>
    </w:p>
    <w:p>
      <w:r/>
      <w:r>
        <w:t>Aid often hinges on paperwork and prescriptions. When IDs don’t match a person’s gender presentation, or when necessary medications run out, people face an agonising choice: go without help or risk humiliation and harm. El País coverage of the quake recovery shows many survivors are already fighting for insurance and documentation; add an identity mismatch and the delay can be catastrophic.</w:t>
      </w:r>
      <w:r/>
    </w:p>
    <w:p>
      <w:r/>
      <w:r>
        <w:t>Practical advice: allow temporary documentation solutions, carry lists of common trans-related medications and protocols for continuity of care, and ensure health teams know where to refer people urgently.</w:t>
      </w:r>
      <w:r/>
    </w:p>
    <w:p>
      <w:pPr>
        <w:pStyle w:val="Heading2"/>
      </w:pPr>
      <w:r>
        <w:t>Why community groups should be part of the first response</w:t>
      </w:r>
      <w:r/>
    </w:p>
    <w:p>
      <w:r/>
      <w:r>
        <w:t>Local LGBTIQ+ organisations and networks are often the quickest to know who’s vulnerable and what they need. Colombia Diversa and similar groups document both the barriers and practical solutions for rights access. When humanitarian agencies coordinate with community organisations, distribution is faster and safer, and trust rises.</w:t>
      </w:r>
      <w:r/>
    </w:p>
    <w:p>
      <w:r/>
      <w:r>
        <w:t>How to do it: appoint liaison roles during disaster responses, map community groups as part of preparedness planning, and include representatives in shelter management decisions.</w:t>
      </w:r>
      <w:r/>
    </w:p>
    <w:p>
      <w:pPr>
        <w:pStyle w:val="Heading2"/>
      </w:pPr>
      <w:r>
        <w:t>Policy, prevention and the long view</w:t>
      </w:r>
      <w:r/>
    </w:p>
    <w:p>
      <w:r/>
      <w:r>
        <w:t>Emergency policy can’t be an afterthought. The government-level debates over economic emergency measures, insurance and reconstruction highlighted in national reporting show there’s room to embed inclusion into legal and logistical frameworks. It’s not about lists of categories; it’s about recognising that people live in many forms of family and support, and that dignity must persist through crisis.</w:t>
      </w:r>
      <w:r/>
    </w:p>
    <w:p>
      <w:r/>
      <w:r>
        <w:t>Forward-looking move: incorporate inclusive clauses in evacuation and shelter protocols, require anti-discrimination training for responders, and build accessible complaint and redress channels so people can report problems without fear.</w:t>
      </w:r>
      <w:r/>
    </w:p>
    <w:p>
      <w:r/>
      <w:r>
        <w:t>It's a small but crucial shift: plan with diversity in mind now, and fewer people will be left explaining why they deserve help when the next emergency hits.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3">
        <w:r>
          <w:rPr>
            <w:color w:val="0000EE"/>
            <w:u w:val="single"/>
          </w:rPr>
          <w:t>[6]</w:t>
        </w:r>
      </w:hyperlink>
      <w:r>
        <w:t xml:space="preserve">, </w:t>
      </w:r>
      <w:hyperlink r:id="rId14">
        <w:r>
          <w:rPr>
            <w:color w:val="0000EE"/>
            <w:u w:val="single"/>
          </w:rPr>
          <w:t>[7]</w:t>
        </w:r>
      </w:hyperlink>
      <w:r>
        <w:t xml:space="preserve">- Paragraph 5: </w:t>
      </w:r>
      <w:hyperlink r:id="rId15">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https://www.publimetro.co/opinion/2026/08/18/la-emergencia-despues-de-la-emergencia/</w:t>
        </w:r>
      </w:hyperlink>
      <w:r>
        <w:t xml:space="preserve"> - Please view link - unable to able to access data</w:t>
      </w:r>
      <w:r/>
    </w:p>
    <w:p>
      <w:pPr>
        <w:pStyle w:val="ListNumber"/>
        <w:spacing w:line="240" w:lineRule="auto"/>
        <w:ind w:left="720"/>
      </w:pPr>
      <w:r/>
      <w:hyperlink r:id="rId10">
        <w:r>
          <w:rPr>
            <w:color w:val="0000EE"/>
            <w:u w:val="single"/>
          </w:rPr>
          <w:t>https://elpais.com/america-colombia/2026-08-17/los-afectados-del-terremoto-ponen-su-fe-en-las-aseguradoras-esperamos-que-nos-digan-que-va-a-pasar.html</w:t>
        </w:r>
      </w:hyperlink>
      <w:r>
        <w:t xml:space="preserve"> - Following the 7.4 magnitude earthquake that struck Cali on August 14, 2026, thousands of residents, including 83-year-old Hebert Sánchez, are uncertain about the future of their homes and are placing their hopes in insurance companies. Despite their building showing no structural damage, their apartments were severely affected. Cali reports 46 collapsed buildings, 35 partially damaged, and 1,408 with structural issues. The insurance companies, overwhelmed by the surge of claims, are attempting to respond within legal timeframes, but processes can extend up to six months. Only 10-20% of the risk is assumed by local insurers; the rest is covered by international reinsurers. Cali accounts for nearly 9.5% of the country's earthquake insurance premiums, yet only 12% of the homes there are insured. Nationally, more than 90% lack seismic coverage. The inequality is exacerbated in regions like Chocó, the epicenter of the quake, where almost all assets were lost. This event marks a turning point in the Colombian insurance market, with potential increases in future premiums, highlighting the urgent need for planning and protection against natural disasters.</w:t>
      </w:r>
      <w:r/>
    </w:p>
    <w:p>
      <w:pPr>
        <w:pStyle w:val="ListNumber"/>
        <w:spacing w:line="240" w:lineRule="auto"/>
        <w:ind w:left="720"/>
      </w:pPr>
      <w:r/>
      <w:hyperlink r:id="rId11">
        <w:r>
          <w:rPr>
            <w:color w:val="0000EE"/>
            <w:u w:val="single"/>
          </w:rPr>
          <w:t>https://elpais.com/america-colombia/2026-08-16/terremoto-en-colombia-que-tan-preparado-estaba-el-pais.html</w:t>
        </w:r>
      </w:hyperlink>
      <w:r>
        <w:t xml:space="preserve"> - The 7.4 magnitude earthquake that struck Colombia on August 10, 2026, caused severe damage in the central and western regions, affecting 450 municipalities, resulting in 288 deaths, 12,500 damaged homes, and 216 health centres impacted. The quake coincided with the recent inauguration of the new president, Abelardo de la Espriella, and occurred during a governmental transition period. Despite this context, Colombia managed to activate an immediate response due to decades of preparation in risk management, citizen education, and decentralised institutional structures. The country has a robust urban search and rescue system (USAR), including internationally recognised elite teams, and witnessed significant citizen mobilisation in aid and solidarity. However, the quake also exposed the system's limits: saturation of health services, vulnerable critical infrastructure, and resources spread across multiple fronts. The article emphasises the importance of not only having reactive capacity but also managing risks beforehand, making strategic decisions on location and reinforcement of key infrastructures. True preparedness, it concludes, lies in transforming knowledge about risks into sustained preventive actions.</w:t>
      </w:r>
      <w:r/>
    </w:p>
    <w:p>
      <w:pPr>
        <w:pStyle w:val="ListNumber"/>
        <w:spacing w:line="240" w:lineRule="auto"/>
        <w:ind w:left="720"/>
      </w:pPr>
      <w:r/>
      <w:hyperlink r:id="rId15">
        <w:r>
          <w:rPr>
            <w:color w:val="0000EE"/>
            <w:u w:val="single"/>
          </w:rPr>
          <w:t>https://elpais.com/america-colombia/2026-02-20/emergencia-economica-en-colombia-por-inundaciones-las-claves-del-decreto-150-y-el-nuevo-impuesto-al-patrimonio.html</w:t>
        </w:r>
      </w:hyperlink>
      <w:r>
        <w:t xml:space="preserve"> - The Colombian government declared a state of economic emergency through Decree 150 on February 11, 2026, due to severe flooding caused by exceptional rains between February 1 and 6. The affected regions include Córdoba, Antioquia, La Guajira, Sucre, Bolívar, Cesar, Magdalena, and Chocó. The event was triggered by an atypical cold front in the Caribbean, generating rains that exceeded historical averages by 130% to 180%. The balance includes 65 emergencies, 61 impacted municipalities, more than 69,000 affected families, 10 deaths, and substantial material damages. To address the crisis, President Gustavo Petro proposed a new wealth tax for legal entities, within the constitutional framework of the state of emergency, with rates ranging from 0.6% to 1.2% depending on the asset value. It is estimated that 8 trillion pesos are needed for recovery. This measure is proposed in a context of fiscal deterioration, with a deficit target of 7.1% of GDP for 2025 and credit rating downgrades by international agencies.</w:t>
      </w:r>
      <w:r/>
    </w:p>
    <w:p>
      <w:pPr>
        <w:pStyle w:val="ListNumber"/>
        <w:spacing w:line="240" w:lineRule="auto"/>
        <w:ind w:left="720"/>
      </w:pPr>
      <w:r/>
      <w:hyperlink r:id="rId12">
        <w:r>
          <w:rPr>
            <w:color w:val="0000EE"/>
            <w:u w:val="single"/>
          </w:rPr>
          <w:t>https://elpais.com/america-colombia/2026-05-14/los-asesinatos-de-personas-lgbti-se-disparan-un-63-en-colombia.html</w:t>
        </w:r>
      </w:hyperlink>
      <w:r>
        <w:t xml:space="preserve"> - In 2025, Colombia experienced an alarming 64% increase in murders of LGBTI individuals, rising from 165 cases in 2024 to 270, equating to one death every 32 hours, according to the report by the NGO Caribe Afirmativo. This increase is attributed to the deterioration of public order in areas dominated by armed conflict and illegal economies, where LGBTI individuals are considered more vulnerable and less socially protected. The rise of hate speech and conservative radicalisation in the country also influences this trend. The report reveals that gay men and trans women are the most affected, followed by bisexual men and lesbian women. Additionally, 70 victims were not classified by sexual orientation or gender identity, reflecting flaws in registration systems. The most affected departments are Valle del Cauca, Antioquia, and Bogotá, which tripled its figures compared to 2024. Digital violence and threats are also on the rise, highlighting the lack of regulation on social media. The report concludes that there is a structure of violence sustained by prejudice and impunity and denounces the state's ineffectiveness in preventing these crimes.</w:t>
      </w:r>
      <w:r/>
    </w:p>
    <w:p>
      <w:pPr>
        <w:pStyle w:val="ListNumber"/>
        <w:spacing w:line="240" w:lineRule="auto"/>
        <w:ind w:left="720"/>
      </w:pPr>
      <w:r/>
      <w:hyperlink r:id="rId13">
        <w:r>
          <w:rPr>
            <w:color w:val="0000EE"/>
            <w:u w:val="single"/>
          </w:rPr>
          <w:t>https://colombiadiversa.org/sobre-el-acceso-a-derechos-de-personas-lgbtiq-en-colombia/</w:t>
        </w:r>
      </w:hyperlink>
      <w:r>
        <w:t xml:space="preserve"> - In housing, rejections and expulsions due to prejudice are reported. In shelters and refuges, LGBTIQ+ migrant individuals must conceal their orientation or identity to be admitted, contradicting anti-discrimination norms. Entry has been denied to gay men for being "single men" without addressing the risk for those with a feminine gender expression, and trans women have been placed in male areas, making them victims of harassment and aggression. In the Darién route, although entry is not denied to LGBTIQ+ individuals, no specific protection measures are offered. In some cases, these camps are controlled by illegal armed groups that do not contemplate any differentiated care protocol. Although the state reports actions to prevent violence and promote diversity, no concrete mechanisms have been implemented to guarantee comprehensive and effective protection of LGBTIQ+ migrant individuals, thus violating the ICESCR.</w:t>
      </w:r>
      <w:r/>
    </w:p>
    <w:p>
      <w:pPr>
        <w:pStyle w:val="ListNumber"/>
        <w:spacing w:line="240" w:lineRule="auto"/>
        <w:ind w:left="720"/>
      </w:pPr>
      <w:r/>
      <w:hyperlink r:id="rId14">
        <w:r>
          <w:rPr>
            <w:color w:val="0000EE"/>
            <w:u w:val="single"/>
          </w:rPr>
          <w:t>https://colombiadiversa.org/ddhh-lgbt/EN/</w:t>
        </w:r>
      </w:hyperlink>
      <w:r>
        <w:t xml:space="preserve"> - Threats, forced displacement, and homicides are the victimising events that have most affected LGBT people in the context of the armed conflict. Forced displacement is one of the main consequences of threats by armed groups to LGBT people. Displacement is not only present at a regional or national level. It is also present as an intra-urban phenomenon—such is the case of Medellín. Victims tell how violence and threats coming from armed groups and criminal gangs have forced them to migrate to other communes or neighbourhoods in the same city to safeguard their integrity and that of their families. There are particular dynamics regarding the presence of illegal armed groups, drug trafficking, and the lack of presence of the state in some territories.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ublimetro.co/opinion/2026/08/18/la-emergencia-despues-de-la-emergencia/" TargetMode="External"/><Relationship Id="rId10" Type="http://schemas.openxmlformats.org/officeDocument/2006/relationships/hyperlink" Target="https://elpais.com/america-colombia/2026-08-17/los-afectados-del-terremoto-ponen-su-fe-en-las-aseguradoras-esperamos-que-nos-digan-que-va-a-pasar.html" TargetMode="External"/><Relationship Id="rId11" Type="http://schemas.openxmlformats.org/officeDocument/2006/relationships/hyperlink" Target="https://elpais.com/america-colombia/2026-08-16/terremoto-en-colombia-que-tan-preparado-estaba-el-pais.html" TargetMode="External"/><Relationship Id="rId12" Type="http://schemas.openxmlformats.org/officeDocument/2006/relationships/hyperlink" Target="https://elpais.com/america-colombia/2026-05-14/los-asesinatos-de-personas-lgbti-se-disparan-un-63-en-colombia.html" TargetMode="External"/><Relationship Id="rId13" Type="http://schemas.openxmlformats.org/officeDocument/2006/relationships/hyperlink" Target="https://colombiadiversa.org/sobre-el-acceso-a-derechos-de-personas-lgbtiq-en-colombia/" TargetMode="External"/><Relationship Id="rId14" Type="http://schemas.openxmlformats.org/officeDocument/2006/relationships/hyperlink" Target="https://colombiadiversa.org/ddhh-lgbt/EN/" TargetMode="External"/><Relationship Id="rId15" Type="http://schemas.openxmlformats.org/officeDocument/2006/relationships/hyperlink" Target="https://elpais.com/america-colombia/2026-02-20/emergencia-economica-en-colombia-por-inundaciones-las-claves-del-decreto-150-y-el-nuevo-impuesto-al-patrimonio.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