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Practical Guide to LGBTQI+ Reproductive Rights and Family 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sorry, readers, are turning to practical legal guides as LGBTQI+ family formation law rapidly evolves; this piece explains who’s affected, what’s changed, where disputes are cropping up, and why lawyers and families need clear, up-to-date guidance now.</w:t>
      </w:r>
      <w:r/>
    </w:p>
    <w:p>
      <w:r/>
      <w:r>
        <w:t>Essential Takeaways</w:t>
      </w:r>
      <w:r/>
      <w:r/>
    </w:p>
    <w:p>
      <w:pPr>
        <w:pStyle w:val="ListBullet"/>
        <w:spacing w:line="240" w:lineRule="auto"/>
        <w:ind w:left="720"/>
      </w:pPr>
      <w:r/>
      <w:r>
        <w:rPr>
          <w:b/>
        </w:rPr>
        <w:t>Legal landscape is shifting:</w:t>
      </w:r>
      <w:r>
        <w:t xml:space="preserve"> Recent cases and statutes have created patchwork rules that vary by state, so outcomes depend heavily on location.</w:t>
      </w:r>
      <w:r/>
    </w:p>
    <w:p>
      <w:pPr>
        <w:pStyle w:val="ListBullet"/>
        <w:spacing w:line="240" w:lineRule="auto"/>
        <w:ind w:left="720"/>
      </w:pPr>
      <w:r/>
      <w:r>
        <w:rPr>
          <w:b/>
        </w:rPr>
        <w:t>Multiple pathways exist:</w:t>
      </w:r>
      <w:r>
        <w:t xml:space="preserve"> Assisted reproduction, adoption, and third‑party reproduction each carry distinct legal risks and paperwork.</w:t>
      </w:r>
      <w:r/>
    </w:p>
    <w:p>
      <w:pPr>
        <w:pStyle w:val="ListBullet"/>
        <w:spacing w:line="240" w:lineRule="auto"/>
        <w:ind w:left="720"/>
      </w:pPr>
      <w:r/>
      <w:r>
        <w:rPr>
          <w:b/>
        </w:rPr>
        <w:t>Documentation matters:</w:t>
      </w:r>
      <w:r>
        <w:t xml:space="preserve"> Clear contracts, parental orders, and pre-birth/parentage planning ease future disputes and emotional stress.</w:t>
      </w:r>
      <w:r/>
    </w:p>
    <w:p>
      <w:pPr>
        <w:pStyle w:val="ListBullet"/>
        <w:spacing w:line="240" w:lineRule="auto"/>
        <w:ind w:left="720"/>
      </w:pPr>
      <w:r/>
      <w:r>
        <w:rPr>
          <w:b/>
        </w:rPr>
        <w:t>Specialist counsel helps:</w:t>
      </w:r>
      <w:r>
        <w:t xml:space="preserve"> Reproductive or fertility law attorneys guide medical, custody and estate issues; they’re worth the cost for complex cases.</w:t>
      </w:r>
      <w:r/>
    </w:p>
    <w:p>
      <w:pPr>
        <w:pStyle w:val="ListBullet"/>
        <w:spacing w:line="240" w:lineRule="auto"/>
        <w:ind w:left="720"/>
      </w:pPr>
      <w:r/>
      <w:r>
        <w:rPr>
          <w:b/>
        </w:rPr>
        <w:t>Practical readiness:</w:t>
      </w:r>
      <w:r>
        <w:t xml:space="preserve"> Couples and single parents should plan early, budget for legal fees, and expect to update documents if they move.</w:t>
      </w:r>
      <w:r/>
      <w:r/>
    </w:p>
    <w:p>
      <w:pPr>
        <w:pStyle w:val="Heading2"/>
      </w:pPr>
      <w:r>
        <w:t>Why the law feels like a moving target</w:t>
      </w:r>
      <w:r/>
    </w:p>
    <w:p>
      <w:r/>
      <w:r>
        <w:t>The most striking thing about LGBTQI+ family law is how quickly it changes, with wins and setbacks emerging almost yearly. That creates an unsettling, lived experience for people trying to build families, what feels secure during pregnancy can look different after birth, or after a move across state lines. According to law reviews and legal commentary, these developments follow wider social and political currents, from marriage equality to new reproductive technologies. For anyone planning parenthood, that sense of flux means proactive legal planning is not optional.</w:t>
      </w:r>
      <w:r/>
    </w:p>
    <w:p>
      <w:pPr>
        <w:pStyle w:val="Heading2"/>
      </w:pPr>
      <w:r>
        <w:t>Assisted reproduction: practical legal checkpoints</w:t>
      </w:r>
      <w:r/>
    </w:p>
    <w:p>
      <w:r/>
      <w:r>
        <w:t>Assisted reproduction, IVF, donor gametes, surrogacy, requires far more than clinic discussions. Medical choices intersect with contract law, parentage statutes, and workplace policies. Clinics often supply consent forms, but attorneys recommend separate fertility agreements that spell out parental rights, financial responsibilities, and contingency plans. Harvard Law Review and reproductive-law practitioners emphasise that pre‑conception orders and carefully drafted surrogacy contracts reduce the chance of court fights later. Tip: review state surrogacy laws before you start; in some jurisdictions, surrogacy agreements are unenforceable.</w:t>
      </w:r>
      <w:r/>
    </w:p>
    <w:p>
      <w:pPr>
        <w:pStyle w:val="Heading2"/>
      </w:pPr>
      <w:r>
        <w:t>Adoption and second-parent recognition: the paperwork that matters</w:t>
      </w:r>
      <w:r/>
    </w:p>
    <w:p>
      <w:r/>
      <w:r>
        <w:t>Adoption remains a tried-and-true route for many LGBTQI+ families, yet the mechanics vary. Some couples use streamlined second‑parent adoption to secure legal ties without terminating a biological parent’s rights; others pursue step‑parent or private adoptions. Courts and agencies can be inconsistent, so expect background checks, home assessments, and, crucially, legal filings timed around births. Legal scholarship on post‑Stonewall family law shows that adoption practice has responded to social change, but not uniformly. Practical advice: get local counsel who knows the county or agency rules where you live.</w:t>
      </w:r>
      <w:r/>
    </w:p>
    <w:p>
      <w:pPr>
        <w:pStyle w:val="Heading2"/>
      </w:pPr>
      <w:r>
        <w:t>Cross‑border and interstate problems: moving can reopen settled issues</w:t>
      </w:r>
      <w:r/>
    </w:p>
    <w:p>
      <w:r/>
      <w:r>
        <w:t>Moving states or dealing with cross‑border fertility services introduces new headaches. Parentage recognised in one state might not be honoured in another, creating custody or benefits problems. Medical records and consent forms that sufficed at the clinic may be treated differently by courts elsewhere. Experts suggest including parentage orders and adoption decrees in your travel and immigration paperwork, and carrying certified copies. Industry and academic sources note that harmonising laws remains a policy goal, but until then, expect friction and plan for it.</w:t>
      </w:r>
      <w:r/>
    </w:p>
    <w:p>
      <w:pPr>
        <w:pStyle w:val="Heading2"/>
      </w:pPr>
      <w:r>
        <w:t>Where to get help and what specialists do</w:t>
      </w:r>
      <w:r/>
    </w:p>
    <w:p>
      <w:r/>
      <w:r>
        <w:t>Fertility and reproductive law is a niche but growing practice area. Attorneys who focus on this field guide clients through contracts with donors and surrogates, secure pre‑ and post‑birth parentage orders, and advise on custody, estate planning, and insurance issues. Legal resources, CLE webinars, and specialist organisations offer practical toolkits for lawyers and families. If you’re starting, ask potential counsel about their work with clinics, familiarity with local courts, and experience drafting the exact documents you’ll need. A good lawyer turns legal uncertainty into a manageable checklist.</w:t>
      </w:r>
      <w:r/>
    </w:p>
    <w:p>
      <w:pPr>
        <w:pStyle w:val="Heading2"/>
      </w:pPr>
      <w:r>
        <w:t>Looking ahead: trends and small wins that matter</w:t>
      </w:r>
      <w:r/>
    </w:p>
    <w:p>
      <w:r/>
      <w:r>
        <w:t>The big picture points to gradual improvement in parts of the country, coupled with continued battlegrounds where rights are contested. Advances in reproductive medicine and clearer model contracts will help, but policy and litigation will still shape outcomes. Meanwhile, practical measures, early planning, clear agreements, location-aware legal advice, keep families safer. As courts and legislatures respond, staying informed through reputable legal commentary and specialist webinars pays off.</w:t>
      </w:r>
      <w:r/>
    </w:p>
    <w:p>
      <w:r/>
      <w:r>
        <w:t>It's a small change that can make every parenting step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9">
        <w:r>
          <w:rPr>
            <w:color w:val="0000EE"/>
            <w:u w:val="single"/>
          </w:rPr>
          <w:t>[7]</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9">
        <w:r>
          <w:rPr>
            <w:color w:val="0000EE"/>
            <w:u w:val="single"/>
          </w:rPr>
          <w:t>[1]</w:t>
        </w:r>
      </w:hyperlink>
      <w:r>
        <w:t xml:space="preserve">- Paragraph 6: </w:t>
      </w:r>
      <w:hyperlink r:id="rId11">
        <w:r>
          <w:rPr>
            <w:color w:val="0000EE"/>
            <w:u w:val="single"/>
          </w:rPr>
          <w:t>[3]</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https://onward.justia.com/lgbtqi-reproductive-rights-family-formation-evolving-law-practical-guidance/</w:t>
        </w:r>
      </w:hyperlink>
      <w:r>
        <w:t xml:space="preserve"> - Please view link - unable to able to access data</w:t>
      </w:r>
      <w:r/>
    </w:p>
    <w:p>
      <w:pPr>
        <w:pStyle w:val="ListNumber"/>
        <w:spacing w:line="240" w:lineRule="auto"/>
        <w:ind w:left="720"/>
      </w:pPr>
      <w:r/>
      <w:hyperlink r:id="rId10">
        <w:r>
          <w:rPr>
            <w:color w:val="0000EE"/>
            <w:u w:val="single"/>
          </w:rPr>
          <w:t>https://digitalcommons.unl.edu/sociologyfacpub/552/</w:t>
        </w:r>
      </w:hyperlink>
      <w:r>
        <w:t xml:space="preserve"> - This article examines how the law influences family formation among lesbian, gay, bisexual, and queer (LGBQ) parents in the United States. It adopts a socio-legal approach, focusing on both legal barriers and social barriers, such as how the law is practiced and how individuals experience it in daily life. The authors highlight the role of attorneys in advancing rights for LGBQ-parent families and LGBTQ prospective parents, emphasizing the importance of understanding the law's impact on family dynamics and advocating for necessary legal reforms.</w:t>
      </w:r>
      <w:r/>
    </w:p>
    <w:p>
      <w:pPr>
        <w:pStyle w:val="ListNumber"/>
        <w:spacing w:line="240" w:lineRule="auto"/>
        <w:ind w:left="720"/>
      </w:pPr>
      <w:r/>
      <w:hyperlink r:id="rId11">
        <w:r>
          <w:rPr>
            <w:color w:val="0000EE"/>
            <w:u w:val="single"/>
          </w:rPr>
          <w:t>https://lawreview.richmond.edu/2020/03/01/riding-the-storm-out-after-the-stonewall-riots-subsequent-waves-of-lgbt-rights-in-family-formation-and-reproduction/</w:t>
        </w:r>
      </w:hyperlink>
      <w:r>
        <w:t xml:space="preserve"> - This article explores the evolution of LGBT family formation since the Stonewall Riots, categorizing the developments into four waves: the initial subtle wave (1970s-1980s), a growing wave in the 1990s, a massive wave from 2000 through 2019, and the anticipated 2020 wave and beyond. It discusses how LGBT individuals have built families through adoption and assisted reproductive technologies, highlighting the impact of medical advancements like in vitro fertilization and embryo transfers on family-building options for LGBT individuals.</w:t>
      </w:r>
      <w:r/>
    </w:p>
    <w:p>
      <w:pPr>
        <w:pStyle w:val="ListNumber"/>
        <w:spacing w:line="240" w:lineRule="auto"/>
        <w:ind w:left="720"/>
      </w:pPr>
      <w:r/>
      <w:hyperlink r:id="rId12">
        <w:r>
          <w:rPr>
            <w:color w:val="0000EE"/>
            <w:u w:val="single"/>
          </w:rPr>
          <w:t>https://www.ncbi.nlm.nih.gov/books/NBK566090/</w:t>
        </w:r>
      </w:hyperlink>
      <w:r>
        <w:t xml:space="preserve"> - This section presents research on family formation, parenting, children, and other family ties within LGBTQI+ populations. It discusses how LGBTQ individuals are less likely than heterosexual individuals to desire or intend to have children, with studies showing that adult lesbian women and gay men are less likely to express a desire for parenthood. The section also highlights that sexual minority women may be more likely than heterosexual women to have unplanned pregnancies, and gay men who desire parenthood are less likely to expect that they will attain it.</w:t>
      </w:r>
      <w:r/>
    </w:p>
    <w:p>
      <w:pPr>
        <w:pStyle w:val="ListNumber"/>
        <w:spacing w:line="240" w:lineRule="auto"/>
        <w:ind w:left="720"/>
      </w:pPr>
      <w:r/>
      <w:hyperlink r:id="rId14">
        <w:r>
          <w:rPr>
            <w:color w:val="0000EE"/>
            <w:u w:val="single"/>
          </w:rPr>
          <w:t>https://legalclarity.org/what-a-reproductive-and-fertility-law-attorney-does/</w:t>
        </w:r>
      </w:hyperlink>
      <w:r>
        <w:t xml:space="preserve"> - This article outlines the role of reproductive and fertility law attorneys in assisting LGBTQ+ families. It discusses the complexities LGBTQ+ individuals face in establishing legal parentage, especially in jurisdictions where the marital presumption of parentage may not apply equally to same-sex couples. The article emphasizes the importance of legal professionals in navigating these challenges, including the need for pre-birth orders, adoption proceedings, and addressing issues related to the disposition of cryopreserved embryos and estate planning.</w:t>
      </w:r>
      <w:r/>
    </w:p>
    <w:p>
      <w:pPr>
        <w:pStyle w:val="ListNumber"/>
        <w:spacing w:line="240" w:lineRule="auto"/>
        <w:ind w:left="720"/>
      </w:pPr>
      <w:r/>
      <w:hyperlink r:id="rId13">
        <w:r>
          <w:rPr>
            <w:color w:val="0000EE"/>
            <w:u w:val="single"/>
          </w:rPr>
          <w:t>https://harvardlawreview.org/print/vol-129/marriage-equality-and-the-new-parenthood/</w:t>
        </w:r>
      </w:hyperlink>
      <w:r>
        <w:t xml:space="preserve"> - This article examines how marriage equality has influenced the legal understanding of parenthood, particularly for same-sex couples. It integrates developments in family law governing different-sex and same-sex couples, biological and nonbiological parents, and marital and nonmarital families. The author discusses how marriage equality has enabled significant shifts in the law’s understanding of parenthood, challenging traditional norms and advocating for a model of parenthood based on intentional and functional relationships rather than formal parentage markers like biology, gender, and marital status.</w:t>
      </w:r>
      <w:r/>
    </w:p>
    <w:p>
      <w:pPr>
        <w:pStyle w:val="ListNumber"/>
        <w:spacing w:line="240" w:lineRule="auto"/>
        <w:ind w:left="720"/>
      </w:pPr>
      <w:r/>
      <w:hyperlink r:id="rId9">
        <w:r>
          <w:rPr>
            <w:color w:val="0000EE"/>
            <w:u w:val="single"/>
          </w:rPr>
          <w:t>https://onward.justia.com/lgbtqi-reproductive-rights-family-formation-evolving-law-practical-guidance/</w:t>
        </w:r>
      </w:hyperlink>
      <w:r>
        <w:t xml:space="preserve"> - This article provides an overview of a Justia webinar titled 'LGBTQI Reproductive Rights &amp; Family Formation: Evolving Law &amp; Practical Guidance.' The webinar covers the history and development of LGBTQI family formation law, including the impact of marriage equality on adoption and assisted reproduction, landmark court decisions shaping LGBTQI parentage rights, and the importance of court orders despite marriage equality. It also discusses current legal challenges, such as the impact of Supreme Court decisions, gendered statutes, and recent developments affecting assisted reproductive technology and surrogacy.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ward.justia.com/lgbtqi-reproductive-rights-family-formation-evolving-law-practical-guidance/" TargetMode="External"/><Relationship Id="rId10" Type="http://schemas.openxmlformats.org/officeDocument/2006/relationships/hyperlink" Target="https://digitalcommons.unl.edu/sociologyfacpub/552/" TargetMode="External"/><Relationship Id="rId11" Type="http://schemas.openxmlformats.org/officeDocument/2006/relationships/hyperlink" Target="https://lawreview.richmond.edu/2020/03/01/riding-the-storm-out-after-the-stonewall-riots-subsequent-waves-of-lgbt-rights-in-family-formation-and-reproduction/" TargetMode="External"/><Relationship Id="rId12" Type="http://schemas.openxmlformats.org/officeDocument/2006/relationships/hyperlink" Target="https://www.ncbi.nlm.nih.gov/books/NBK566090/" TargetMode="External"/><Relationship Id="rId13" Type="http://schemas.openxmlformats.org/officeDocument/2006/relationships/hyperlink" Target="https://harvardlawreview.org/print/vol-129/marriage-equality-and-the-new-parenthood/" TargetMode="External"/><Relationship Id="rId14" Type="http://schemas.openxmlformats.org/officeDocument/2006/relationships/hyperlink" Target="https://legalclarity.org/what-a-reproductive-and-fertility-law-attorney-d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