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Trans Issues: How Media Outrage Costs Lives and What You Can Do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steady drumbeat of outrage turns people into headlines; Australians are seeing sixteen stories a week about trans and gender-diverse people, and that volume is reshaping lives, law and healthcare. This piece explains who benefits, which protections are already in place, and practical steps you can take to stop feeding a harmful cycle.</w:t>
      </w:r>
      <w:r/>
    </w:p>
    <w:p>
      <w:r/>
      <w:r>
        <w:t>Essential Takeaways</w:t>
      </w:r>
      <w:r/>
      <w:r/>
    </w:p>
    <w:p>
      <w:pPr>
        <w:pStyle w:val="ListBullet"/>
        <w:spacing w:line="240" w:lineRule="auto"/>
        <w:ind w:left="720"/>
      </w:pPr>
      <w:r/>
      <w:r>
        <w:rPr>
          <w:b/>
        </w:rPr>
        <w:t>Scale of coverage:</w:t>
      </w:r>
      <w:r>
        <w:t xml:space="preserve"> Studies show thousands of Australian articles with a structural negative bias in reporting on trans people, concentrated in a few outlets. </w:t>
      </w:r>
      <w:r/>
    </w:p>
    <w:p>
      <w:pPr>
        <w:pStyle w:val="ListBullet"/>
        <w:spacing w:line="240" w:lineRule="auto"/>
        <w:ind w:left="720"/>
      </w:pPr>
      <w:r/>
      <w:r>
        <w:rPr>
          <w:b/>
        </w:rPr>
        <w:t>Settled law exists:</w:t>
      </w:r>
      <w:r>
        <w:t xml:space="preserve"> Passports, federal discrimination law and state birth‑certificate reforms already protect gender identity in many contexts. </w:t>
      </w:r>
      <w:r/>
    </w:p>
    <w:p>
      <w:pPr>
        <w:pStyle w:val="ListBullet"/>
        <w:spacing w:line="240" w:lineRule="auto"/>
        <w:ind w:left="720"/>
      </w:pPr>
      <w:r/>
      <w:r>
        <w:rPr>
          <w:b/>
        </w:rPr>
        <w:t>Real harms follow headlines:</w:t>
      </w:r>
      <w:r>
        <w:t xml:space="preserve"> Research links spikes in negative media coverage with reduced healthcare access and worse mental health outcomes. </w:t>
      </w:r>
      <w:r/>
    </w:p>
    <w:p>
      <w:pPr>
        <w:pStyle w:val="ListBullet"/>
        <w:spacing w:line="240" w:lineRule="auto"/>
        <w:ind w:left="720"/>
      </w:pPr>
      <w:r/>
      <w:r>
        <w:rPr>
          <w:b/>
        </w:rPr>
        <w:t>Profit and politics:</w:t>
      </w:r>
      <w:r>
        <w:t xml:space="preserve"> Outrage drives clicks, and that attention is used as a political wedge , neither of which helps people living trans lives. </w:t>
      </w:r>
      <w:r/>
    </w:p>
    <w:p>
      <w:pPr>
        <w:pStyle w:val="ListBullet"/>
        <w:spacing w:line="240" w:lineRule="auto"/>
        <w:ind w:left="720"/>
      </w:pPr>
      <w:r/>
      <w:r>
        <w:rPr>
          <w:b/>
        </w:rPr>
        <w:t>Simple actions help:</w:t>
      </w:r>
      <w:r>
        <w:t xml:space="preserve"> Withdrawing clicks, asking where stories come from, and challenging discriminatory policies in your workplace make a measurable difference.</w:t>
      </w:r>
      <w:r/>
      <w:r/>
    </w:p>
    <w:p>
      <w:pPr>
        <w:pStyle w:val="Heading2"/>
      </w:pPr>
      <w:r>
        <w:t>Why headlines about trans people are more than words</w:t>
      </w:r>
      <w:r/>
    </w:p>
    <w:p>
      <w:r/>
      <w:r>
        <w:t>The opening fact is grimly simple: tone and volume in the press shape how strangers treat you, and for trans Australians that treatment is often hostile, quiet and cumulative. Researchers who combed thousands of articles found a structural negative skew in coverage, not random bad takes. That persistent tone sits under every interaction a trans person has , from being followed in a shop to a stranger’s assumption in a bathroom.</w:t>
      </w:r>
      <w:r/>
    </w:p>
    <w:p>
      <w:r/>
      <w:r>
        <w:t>Public interest isn’t the only explanation. Mediawatch and academic analyses make clear that a handful of newsrooms have produced a disproportionate share of this coverage, and it tends to be framed in ways that provoke anger or fear. When outlets favour outrage, the real-world consequences follow: people delay or avoid healthcare, relationships strain, and everyday safety becomes contested ground.</w:t>
      </w:r>
      <w:r/>
    </w:p>
    <w:p>
      <w:pPr>
        <w:pStyle w:val="Heading2"/>
      </w:pPr>
      <w:r>
        <w:t>What’s already settled , and what keeps getting reopening</w:t>
      </w:r>
      <w:r/>
    </w:p>
    <w:p>
      <w:r/>
      <w:r>
        <w:t>It’s worth saying plainly: several legal protections for gender identity are long established. Federal rules let people change passport markers, the Sex Discrimination Act recognises gender identity, and some states permit self-nominated sex descriptors on birth certificates. Those facts matter because the headlines often imply these questions are unresolved.</w:t>
      </w:r>
      <w:r/>
    </w:p>
    <w:p>
      <w:r/>
      <w:r>
        <w:t>Instead of reporting on active legal battles, too much coverage replays settled matters as if they were fresh controversies. That misdirection does political work: it keeps a cycle of alarm running while genuine issues , the exemptions and carve-outs that allow discrimination , get little scrutiny. Knowing what’s already protected helps you see where the real gaps are.</w:t>
      </w:r>
      <w:r/>
    </w:p>
    <w:p>
      <w:pPr>
        <w:pStyle w:val="Heading2"/>
      </w:pPr>
      <w:r>
        <w:t>The three groups that profit from keeping outrage alive</w:t>
      </w:r>
      <w:r/>
    </w:p>
    <w:p>
      <w:r/>
      <w:r>
        <w:t>Call it a system. First, publishers: anger gets clicks, and clicks pay the bills in an attention economy. Algorithms amplify the angrier content and reward outlets that provoke. Second, politicians: anti‑trans rhetoric functions as a wedge issue, energising certain voter blocs without requiring policy solutions. Third, structural distraction: while cameras fixate on gender debates, housing, wages and health funding quietly lose airtime.</w:t>
      </w:r>
      <w:r/>
    </w:p>
    <w:p>
      <w:r/>
      <w:r>
        <w:t>Understanding this triangle explains why narratives repeat. It’s not debate fatigue; it’s an industry built to stoke and recycle controversy, making reform and real safety harder rather than easier.</w:t>
      </w:r>
      <w:r/>
    </w:p>
    <w:p>
      <w:pPr>
        <w:pStyle w:val="Heading2"/>
      </w:pPr>
      <w:r>
        <w:t>Where the real harm is happening , exemptions and everyday discrimination</w:t>
      </w:r>
      <w:r/>
    </w:p>
    <w:p>
      <w:r/>
      <w:r>
        <w:t>If you want to see where the damage lands, look past headlines to the law’s exemptions. Sections of discrimination law let religious bodies refuse services or employment; that legal carve‑out shows up in hospitals, aged care and schools. Surveys report high rates of healthcare refusal and workplace discrimination; unemployment and under‑employment for trans people are markedly higher than the national average.</w:t>
      </w:r>
      <w:r/>
    </w:p>
    <w:p>
      <w:r/>
      <w:r>
        <w:t>These are not abstract figures. They’re why people lose homes, why someone might be turned away from a shelter, and why custody and custodial safety concerns persist. Fixing outrage on front pages won’t change these outcomes unless attention shifts toward the exemptions that enable them.</w:t>
      </w:r>
      <w:r/>
    </w:p>
    <w:p>
      <w:pPr>
        <w:pStyle w:val="Heading2"/>
      </w:pPr>
      <w:r>
        <w:t>Evidence that media coverage affects health and access</w:t>
      </w:r>
      <w:r/>
    </w:p>
    <w:p>
      <w:r/>
      <w:r>
        <w:t>This isn’t just moral argument. Studies have shown event‑level links between spikes in negative media coverage and reductions in healthcare use among trans adolescents. Minority stress research bridges the gap between stigma and mental‑health outcomes; sustained public hostility increases depression and suicidality, and it erodes social support.</w:t>
      </w:r>
      <w:r/>
    </w:p>
    <w:p>
      <w:r/>
      <w:r>
        <w:t>National health surveys reflect this human cost: suicidal behaviours and ideation are disproportionately high among trans people, and coronial and registration systems likely undercount LGBTIQ+ deaths. That undercount masks the true scale of harm and makes it easier for the cycle to continue unchallenged.</w:t>
      </w:r>
      <w:r/>
    </w:p>
    <w:p>
      <w:pPr>
        <w:pStyle w:val="Heading2"/>
      </w:pPr>
      <w:r>
        <w:t>What you can actually do that helps</w:t>
      </w:r>
      <w:r/>
    </w:p>
    <w:p>
      <w:r/>
      <w:r>
        <w:t>Small choices add up. Stop boosting the machine: every share, every click and every subscription is currency for outlets that monetise outrage. Ask where a claim came from before you pass it on and who benefits from you believing it. In your workplace or community, question policies that single out gender identity as a hazard; those quiet clauses are where much of the harm is authorised.</w:t>
      </w:r>
      <w:r/>
    </w:p>
    <w:p>
      <w:r/>
      <w:r>
        <w:t>Vote with attention and with the ballot. Support organisations that provide direct services, and be prepared to speak up when you see a colleague or friend targeted by the same narratives you read about. Most importantly, if you have privilege in a room I’m not in, use it to ask uncomfortable questions no one else wants to raise.</w:t>
      </w:r>
      <w:r/>
    </w:p>
    <w:p>
      <w:r/>
      <w:r>
        <w:t>It’s a small change that can make every conversation less risky.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3">
        <w:r>
          <w:rPr>
            <w:color w:val="0000EE"/>
            <w:u w:val="single"/>
          </w:rPr>
          <w:t>[7]</w:t>
        </w:r>
      </w:hyperlink>
      <w:r>
        <w:t xml:space="preserve">- Paragraph 6: </w:t>
      </w:r>
      <w:hyperlink r:id="rId10">
        <w:r>
          <w:rPr>
            <w:color w:val="0000EE"/>
            <w:u w:val="single"/>
          </w:rPr>
          <w:t>[2]</w:t>
        </w:r>
      </w:hyperlink>
      <w:r>
        <w:t xml:space="preserve">, </w:t>
      </w:r>
      <w:hyperlink r:id="rId14">
        <w:r>
          <w:rPr>
            <w:color w:val="0000EE"/>
            <w:u w:val="single"/>
          </w:rPr>
          <w:t>[6]</w:t>
        </w:r>
      </w:hyperlink>
      <w:r>
        <w:t xml:space="preserve">- Paragraph 7: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https://www.starobserver.com.au/news/the-manufacturing-of-trans-outrage-the-price-is-our-lives-not-your-dollars/243330</w:t>
        </w:r>
      </w:hyperlink>
      <w:r>
        <w:t xml:space="preserve"> - Please view link - unable to able to access data</w:t>
      </w:r>
      <w:r/>
    </w:p>
    <w:p>
      <w:pPr>
        <w:pStyle w:val="ListNumber"/>
        <w:spacing w:line="240" w:lineRule="auto"/>
        <w:ind w:left="720"/>
      </w:pPr>
      <w:r/>
      <w:hyperlink r:id="rId10">
        <w:r>
          <w:rPr>
            <w:color w:val="0000EE"/>
            <w:u w:val="single"/>
          </w:rPr>
          <w:t>https://www.acon.org.au/wp-content/uploads/2018/02/Translating-Transphobia-2016-2017.pdf</w:t>
        </w:r>
      </w:hyperlink>
      <w:r>
        <w:t xml:space="preserve"> - The 'Translating Transphobia' report, published by ACON and Rainbow Rights Watch in 2016, analysed 6,896 articles from Australian print and online media, revealing significant negative bias in coverage of transgender individuals. The study found that over 90% of articles in The Australian newspaper were negatively framed, contributing to a climate of prejudice and misunderstanding towards the transgender community. The report underscores the media's role in shaping public perceptions and highlights the need for more balanced and accurate reporting on transgender issues.</w:t>
      </w:r>
      <w:r/>
    </w:p>
    <w:p>
      <w:pPr>
        <w:pStyle w:val="ListNumber"/>
        <w:spacing w:line="240" w:lineRule="auto"/>
        <w:ind w:left="720"/>
      </w:pPr>
      <w:r/>
      <w:hyperlink r:id="rId11">
        <w:r>
          <w:rPr>
            <w:color w:val="0000EE"/>
            <w:u w:val="single"/>
          </w:rPr>
          <w:t>https://www.abc.net.au/mediawatch/episodes/oz/13529114</w:t>
        </w:r>
      </w:hyperlink>
      <w:r>
        <w:t xml:space="preserve"> - An episode of ABC's Media Watch, aired on 6 September 2021, critically examined The Australian newspaper's extensive coverage of transgender issues. The program highlighted that between mid-2019 and 2021, The Australian published nearly 50 articles on transgender topics, many of which were found to breach principles of accuracy, fairness, and balance. The Australian Press Council upheld complaints against the newspaper, indicating a pattern of negative and misleading reporting on transgender matters.</w:t>
      </w:r>
      <w:r/>
    </w:p>
    <w:p>
      <w:pPr>
        <w:pStyle w:val="ListNumber"/>
        <w:spacing w:line="240" w:lineRule="auto"/>
        <w:ind w:left="720"/>
      </w:pPr>
      <w:r/>
      <w:hyperlink r:id="rId12">
        <w:r>
          <w:rPr>
            <w:color w:val="0000EE"/>
            <w:u w:val="single"/>
          </w:rPr>
          <w:t>https://www.crikey.com.au/2021/06/10/news-corp-negative-transgender-coverage/</w:t>
        </w:r>
      </w:hyperlink>
      <w:r>
        <w:t xml:space="preserve"> - A Crikey article from 10 June 2021 reported on a study revealing that News Corp publications, including The Australian, covered transgender issues more extensively than other Australian media outlets, with up to 90% of their articles framing the issue negatively. This persistent negative coverage has continued despite the Australian Press Council's efforts to improve reporting standards on transgender issues, highlighting ongoing challenges in media representation of the transgender community.</w:t>
      </w:r>
      <w:r/>
    </w:p>
    <w:p>
      <w:pPr>
        <w:pStyle w:val="ListNumber"/>
        <w:spacing w:line="240" w:lineRule="auto"/>
        <w:ind w:left="720"/>
      </w:pPr>
      <w:r/>
      <w:hyperlink r:id="rId15">
        <w:r>
          <w:rPr>
            <w:color w:val="0000EE"/>
            <w:u w:val="single"/>
          </w:rPr>
          <w:t>https://www.tandfonline.com/doi/abs/10.1080/15532739.2016.1149538</w:t>
        </w:r>
      </w:hyperlink>
      <w:r>
        <w:t xml:space="preserve"> - The article 'Hetero-cis–normativity and the gendering of transphobia' by Meredith G. F. Worthen, published in the International Journal of Transgenderism in 2016, examines the persistent cisnormative bias in societal attitudes towards transgender individuals. The study found that heterosexual men are overwhelmingly less supportive of transgender people compared to heterosexual women, a trend observed across multiple countries, including Australia. This research underscores the widespread nature of transphobia and the need for societal change.</w:t>
      </w:r>
      <w:r/>
    </w:p>
    <w:p>
      <w:pPr>
        <w:pStyle w:val="ListNumber"/>
        <w:spacing w:line="240" w:lineRule="auto"/>
        <w:ind w:left="720"/>
      </w:pPr>
      <w:r/>
      <w:hyperlink r:id="rId14">
        <w:r>
          <w:rPr>
            <w:color w:val="0000EE"/>
            <w:u w:val="single"/>
          </w:rPr>
          <w:t>https://www.tandfonline.com/doi/full/10.1080/14681811.2016.1273104</w:t>
        </w:r>
      </w:hyperlink>
      <w:r>
        <w:t xml:space="preserve"> - The study 'Teacher positivity towards gender diversity: exploring relationships and school outcomes for transgender and gender-diverse students' by Jacqueline Ullman, published in the International Journal of Inclusive Education in 2016, investigates the impact of teacher attitudes on transgender and gender-diverse students. The research found that positive teacher attitudes towards gender diversity are associated with better social and academic outcomes for these students, highlighting the importance of supportive educational environments in mitigating the effects of societal transphobia.</w:t>
      </w:r>
      <w:r/>
    </w:p>
    <w:p>
      <w:pPr>
        <w:pStyle w:val="ListNumber"/>
        <w:spacing w:line="240" w:lineRule="auto"/>
        <w:ind w:left="720"/>
      </w:pPr>
      <w:r/>
      <w:hyperlink r:id="rId13">
        <w:r>
          <w:rPr>
            <w:color w:val="0000EE"/>
            <w:u w:val="single"/>
          </w:rPr>
          <w:t>https://www.tandfonline.com/doi/full/10.1080/19419899.2016.1189452</w:t>
        </w:r>
      </w:hyperlink>
      <w:r>
        <w:t xml:space="preserve"> - The article 'Australian mental health professionals’ competencies for working with trans clients: a comparative study' by Damien W. Riggs and Clare Bartholomaeus, published in Psychology and Sexuality in 2016, assesses the preparedness of Australian mental health professionals to work with transgender clients. The study found that many professionals lack accurate knowledge and confidence in addressing the needs of transgender individuals, indicating a significant gap in training and highlighting the importance of specialised education to improve mental health services for the transgender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the-manufacturing-of-trans-outrage-the-price-is-our-lives-not-your-dollars/243330" TargetMode="External"/><Relationship Id="rId10" Type="http://schemas.openxmlformats.org/officeDocument/2006/relationships/hyperlink" Target="https://www.acon.org.au/wp-content/uploads/2018/02/Translating-Transphobia-2016-2017.pdf" TargetMode="External"/><Relationship Id="rId11" Type="http://schemas.openxmlformats.org/officeDocument/2006/relationships/hyperlink" Target="https://www.abc.net.au/mediawatch/episodes/oz/13529114" TargetMode="External"/><Relationship Id="rId12" Type="http://schemas.openxmlformats.org/officeDocument/2006/relationships/hyperlink" Target="https://www.crikey.com.au/2021/06/10/news-corp-negative-transgender-coverage/" TargetMode="External"/><Relationship Id="rId13" Type="http://schemas.openxmlformats.org/officeDocument/2006/relationships/hyperlink" Target="https://www.tandfonline.com/doi/full/10.1080/19419899.2016.1189452" TargetMode="External"/><Relationship Id="rId14" Type="http://schemas.openxmlformats.org/officeDocument/2006/relationships/hyperlink" Target="https://www.tandfonline.com/doi/full/10.1080/14681811.2016.1273104" TargetMode="External"/><Relationship Id="rId15" Type="http://schemas.openxmlformats.org/officeDocument/2006/relationships/hyperlink" Target="https://www.tandfonline.com/doi/abs/10.1080/15532739.2016.114953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