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Communities Are Responding to Rising Anti‑LGBTQ+ Repression in Indonesia</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Shocked observers and grassroots organisers are scrambling as attitudes harden: community groups, legal aid networks and youth activists are using digital platforms, mutual aid and strategic legal work to protect transgender people and push back against state-backed stigma in Indonesia.</w:t>
      </w:r>
      <w:r/>
    </w:p>
    <w:p>
      <w:r/>
      <w:r>
        <w:t>Essential Takeaways</w:t>
      </w:r>
      <w:r/>
      <w:r/>
    </w:p>
    <w:p>
      <w:pPr>
        <w:pStyle w:val="ListBullet"/>
        <w:spacing w:line="240" w:lineRule="auto"/>
        <w:ind w:left="720"/>
      </w:pPr>
      <w:r/>
      <w:r>
        <w:rPr>
          <w:b/>
        </w:rPr>
        <w:t>Worsening climate:</w:t>
      </w:r>
      <w:r>
        <w:t xml:space="preserve"> Recent government moves and public incidents have increased threats against transgender people, with mobs and online doxxing creating visible fear.</w:t>
      </w:r>
      <w:r/>
    </w:p>
    <w:p>
      <w:pPr>
        <w:pStyle w:val="ListBullet"/>
        <w:spacing w:line="240" w:lineRule="auto"/>
        <w:ind w:left="720"/>
      </w:pPr>
      <w:r/>
      <w:r>
        <w:rPr>
          <w:b/>
        </w:rPr>
        <w:t>Legal squeeze:</w:t>
      </w:r>
      <w:r>
        <w:t xml:space="preserve"> New regulations label LGBTQ+ “promotion” a non‑military security threat, encouraging censorship and self‑censorship across media and civil society.</w:t>
      </w:r>
      <w:r/>
    </w:p>
    <w:p>
      <w:pPr>
        <w:pStyle w:val="ListBullet"/>
        <w:spacing w:line="240" w:lineRule="auto"/>
        <w:ind w:left="720"/>
      </w:pPr>
      <w:r/>
      <w:r>
        <w:rPr>
          <w:b/>
        </w:rPr>
        <w:t>Digital double‑edged sword:</w:t>
      </w:r>
      <w:r>
        <w:t xml:space="preserve"> Social platforms amplify attacks but also enable mutual aid, crowdfunding and rapid mobilisation for victims.</w:t>
      </w:r>
      <w:r/>
    </w:p>
    <w:p>
      <w:pPr>
        <w:pStyle w:val="ListBullet"/>
        <w:spacing w:line="240" w:lineRule="auto"/>
        <w:ind w:left="720"/>
      </w:pPr>
      <w:r/>
      <w:r>
        <w:rPr>
          <w:b/>
        </w:rPr>
        <w:t>Civil society pivot:</w:t>
      </w:r>
      <w:r>
        <w:t xml:space="preserve"> NGOs and student groups are partnering with legal organisations to document abuses, pursue redress, and protect online spaces.</w:t>
      </w:r>
      <w:r/>
    </w:p>
    <w:p>
      <w:pPr>
        <w:pStyle w:val="ListBullet"/>
        <w:spacing w:line="240" w:lineRule="auto"/>
        <w:ind w:left="720"/>
      </w:pPr>
      <w:r/>
      <w:r>
        <w:rPr>
          <w:b/>
        </w:rPr>
        <w:t>Youth energy:</w:t>
      </w:r>
      <w:r>
        <w:t xml:space="preserve"> Younger activists and Gen Z supporters are moving into visible organising, bringing fresh tactics and urgent volunteer power.</w:t>
      </w:r>
      <w:r/>
      <w:r/>
    </w:p>
    <w:p>
      <w:pPr>
        <w:pStyle w:val="Heading2"/>
      </w:pPr>
      <w:r>
        <w:t>A shocking spike that feels both sudden and familiar</w:t>
      </w:r>
      <w:r/>
    </w:p>
    <w:p>
      <w:r/>
      <w:r>
        <w:t>The most visceral recent example , videos of transgender women in Bogor being assaulted and humiliated , jolted the country and reminded many activists of painful patterns, with footage spreading quickly online and fuelling more harassment. Amnesty International and local press coverage have documented the attacks and called for thorough investigations, while human rights groups warned this is part of a wider trend. For survivors, the aftermath isn’t just physical; the viral sharing extends trauma and invites further threats, so immediate support and privacy protection become urgent priorities.</w:t>
      </w:r>
      <w:r/>
    </w:p>
    <w:p>
      <w:pPr>
        <w:pStyle w:val="Heading2"/>
      </w:pPr>
      <w:r>
        <w:t>How a presidential security framing changed the conversation</w:t>
      </w:r>
      <w:r/>
    </w:p>
    <w:p>
      <w:r/>
      <w:r>
        <w:t>Labeling “the promotion of LGBTQ+ culture” as a national security concern has practical consequences: it normalises moral panic and gives regulators cover to clamp down on content. Media outlets and broadcasters face a chilling effect and many journalists now avoid queer stories for fear of reprisals. Observers note this follows earlier waves of anti‑LGBT rhetoric and is feeding grassroots hostility , when political leaders frame a minority as a threat, ordinary people feel emboldened to act.</w:t>
      </w:r>
      <w:r/>
    </w:p>
    <w:p>
      <w:pPr>
        <w:pStyle w:val="Heading2"/>
      </w:pPr>
      <w:r>
        <w:t>Where civil society is stepping in , legal aid, documentation and safety nets</w:t>
      </w:r>
      <w:r/>
    </w:p>
    <w:p>
      <w:r/>
      <w:r>
        <w:t>Nonprofits and legal clinics are increasingly the first responders: documenting incidents, offering emergency legal help and working to remove doxxed material. Groups that once relied on foreign funding have had to retool after cuts to international aid, so partnerships between local NGOs, student networks and human rights lawyers are multiplying. Practical tip: survivors should be put in touch with reputable legal NGOs as soon as possible, and organisers recommend preserving evidence offline and vetting crowdfunding pages to avoid scams.</w:t>
      </w:r>
      <w:r/>
    </w:p>
    <w:p>
      <w:pPr>
        <w:pStyle w:val="Heading2"/>
      </w:pPr>
      <w:r>
        <w:t>Digital life: harm and hope in the same feed</w:t>
      </w:r>
      <w:r/>
    </w:p>
    <w:p>
      <w:r/>
      <w:r>
        <w:t>Social media is reckless and wonderful in equal measure. The same platforms that spread violent footage also let communities crowdfund medical and legal costs within hours. Activists use encrypted chats to coordinate mutual aid, and creatives turn to short videos and threads to humanise trans lives. But safety practices matter: organisers advise using privacy settings, registering fundraiser accounts under trusted persons, and training volunteers on digital security to reduce doxxing risks.</w:t>
      </w:r>
      <w:r/>
    </w:p>
    <w:p>
      <w:pPr>
        <w:pStyle w:val="Heading2"/>
      </w:pPr>
      <w:r>
        <w:t>Youth, mutual aid and what effective mobilisation looks like now</w:t>
      </w:r>
      <w:r/>
    </w:p>
    <w:p>
      <w:r/>
      <w:r>
        <w:t>Students and Gen Z activists are proving decisive , they bring energy, networks and a willingness to experiment with online tools that older groups sometimes distrust. Mutual aid campaigns, community legal funds and pop‑up support groups are low‑cost, fast reactions that save lives and rebuild morale. At the same time, long‑term advocacy needs sustained policy work and international solidarity; tiny donations and viral posts help now, but won’t change laws unless paired with strategic legal challenges and persistent public education.</w:t>
      </w:r>
      <w:r/>
    </w:p>
    <w:p>
      <w:pPr>
        <w:pStyle w:val="Heading2"/>
      </w:pPr>
      <w:r>
        <w:t>What this means for journalists, donors and bystanders</w:t>
      </w:r>
      <w:r/>
    </w:p>
    <w:p>
      <w:r/>
      <w:r>
        <w:t>Journalists must weigh the public interest against the risk of amplifying harm and should follow established safety protocols when reporting on vulnerable people. Donors and foundations can fill gaps by supporting grassroots legal defence funds and digital security training. Bystanders who want to help can amplify verified fundraisers, report abusive content to platforms promptly, and back organisations that offer direct support to victims.</w:t>
      </w:r>
      <w:r/>
    </w:p>
    <w:p>
      <w:r/>
      <w:r>
        <w:t>It's a small change in tactics, but community cohesion and smart digital hygiene could make each next incident less devastating.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[5]</w:t>
        </w:r>
      </w:hyperlink>
      <w:r>
        <w:t xml:space="preserve">- Paragraph 2: </w:t>
      </w:r>
      <w:hyperlink r:id="rId12">
        <w:r>
          <w:rPr>
            <w:color w:val="0000EE"/>
            <w:u w:val="single"/>
          </w:rPr>
          <w:t>[2]</w:t>
        </w:r>
      </w:hyperlink>
      <w:r>
        <w:t xml:space="preserve">, </w:t>
      </w:r>
      <w:hyperlink r:id="rId13">
        <w:r>
          <w:rPr>
            <w:color w:val="0000EE"/>
            <w:u w:val="single"/>
          </w:rPr>
          <w:t>[3]</w:t>
        </w:r>
      </w:hyperlink>
      <w:r>
        <w:t xml:space="preserve">- Paragraph 3: </w:t>
      </w:r>
      <w:hyperlink r:id="rId11">
        <w:r>
          <w:rPr>
            <w:color w:val="0000EE"/>
            <w:u w:val="single"/>
          </w:rPr>
          <w:t>[5]</w:t>
        </w:r>
      </w:hyperlink>
      <w:r>
        <w:t xml:space="preserve">, </w:t>
      </w:r>
      <w:hyperlink r:id="rId14">
        <w:r>
          <w:rPr>
            <w:color w:val="0000EE"/>
            <w:u w:val="single"/>
          </w:rPr>
          <w:t>[4]</w:t>
        </w:r>
      </w:hyperlink>
      <w:r>
        <w:t xml:space="preserve">- Paragraph 4: </w:t>
      </w:r>
      <w:hyperlink r:id="rId14">
        <w:r>
          <w:rPr>
            <w:color w:val="0000EE"/>
            <w:u w:val="single"/>
          </w:rPr>
          <w:t>[4]</w:t>
        </w:r>
      </w:hyperlink>
      <w:r>
        <w:t xml:space="preserve">, </w:t>
      </w:r>
      <w:hyperlink r:id="rId15">
        <w:r>
          <w:rPr>
            <w:color w:val="0000EE"/>
            <w:u w:val="single"/>
          </w:rPr>
          <w:t>[7]</w:t>
        </w:r>
      </w:hyperlink>
      <w:r>
        <w:t xml:space="preserve">- Paragraph 5: </w:t>
      </w:r>
      <w:hyperlink r:id="rId14">
        <w:r>
          <w:rPr>
            <w:color w:val="0000EE"/>
            <w:u w:val="single"/>
          </w:rPr>
          <w:t>[4]</w:t>
        </w:r>
      </w:hyperlink>
      <w:r>
        <w:t xml:space="preserve">, </w:t>
      </w:r>
      <w:hyperlink r:id="rId10">
        <w:r>
          <w:rPr>
            <w:color w:val="0000EE"/>
            <w:u w:val="single"/>
          </w:rPr>
          <w:t>[6]</w:t>
        </w:r>
      </w:hyperlink>
      <w:r>
        <w:t xml:space="preserve">- Paragraph 6: </w:t>
      </w:r>
      <w:hyperlink r:id="rId13">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https://thediplomat.com/2026/08/indonesias-transgender-community-is-facing-growing-repression/</w:t>
        </w:r>
      </w:hyperlink>
      <w:r>
        <w:t xml:space="preserve"> - Please view link - unable to able to access data</w:t>
      </w:r>
      <w:r/>
    </w:p>
    <w:p>
      <w:pPr>
        <w:pStyle w:val="ListNumber"/>
        <w:spacing w:line="240" w:lineRule="auto"/>
        <w:ind w:left="720"/>
      </w:pPr>
      <w:r/>
      <w:hyperlink r:id="rId12">
        <w:r>
          <w:rPr>
            <w:color w:val="0000EE"/>
            <w:u w:val="single"/>
          </w:rPr>
          <w:t>https://www.asia-pacific-solidarity.net/news/2026-07-06/lawmakers-back-prabowos-regulation-categorising-lgbtq-threat-country.html</w:t>
        </w:r>
      </w:hyperlink>
      <w:r>
        <w:t xml:space="preserve"> - In July 2026, Indonesian lawmakers supported President Prabowo Subianto's regulation classifying the spread of LGBTQ culture as a non-military threat to national security. The regulation, issued in October 2025, includes LGBTQ culture alongside other non-military threats such as terrorism and separatism. This move has sparked criticism from civil society organisations and human rights groups, who view it as a step towards institutionalising discrimination against the LGBTQ community in Indonesia.</w:t>
      </w:r>
      <w:r/>
    </w:p>
    <w:p>
      <w:pPr>
        <w:pStyle w:val="ListNumber"/>
        <w:spacing w:line="240" w:lineRule="auto"/>
        <w:ind w:left="720"/>
      </w:pPr>
      <w:r/>
      <w:hyperlink r:id="rId13">
        <w:r>
          <w:rPr>
            <w:color w:val="0000EE"/>
            <w:u w:val="single"/>
          </w:rPr>
          <w:t>https://www.asia-pacific-solidarity.net/news/2026-07-05/how-prabowo-designates-spread-lgbtq-culture-nonmilitary-threat.html</w:t>
        </w:r>
      </w:hyperlink>
      <w:r>
        <w:t xml:space="preserve"> - President Prabowo Subianto's Presidential Regulation No. 111 of 2025, signed in October 2025, designates the dissemination of LGBTQ culture as a non-military threat under Indonesia's national defense policy. This regulation categorises threats into military, non-military, and hybrid, with non-military threats including activities that endanger national sovereignty and security. The inclusion of LGBTQ culture in this category has raised concerns among human rights advocates about potential implications for the LGBTQ community in Indonesia.</w:t>
      </w:r>
      <w:r/>
    </w:p>
    <w:p>
      <w:pPr>
        <w:pStyle w:val="ListNumber"/>
        <w:spacing w:line="240" w:lineRule="auto"/>
        <w:ind w:left="720"/>
      </w:pPr>
      <w:r/>
      <w:hyperlink r:id="rId14">
        <w:r>
          <w:rPr>
            <w:color w:val="0000EE"/>
            <w:u w:val="single"/>
          </w:rPr>
          <w:t>https://www.weareaptn.org/2026/07/27/civil-society-organizations-condemns-escalating-hostility-against-lgbtqia-communities-in-indonesia/</w:t>
        </w:r>
      </w:hyperlink>
      <w:r>
        <w:t xml:space="preserve"> - Civil society and community-led organisations across the Asia-Pacific region have expressed deep concern over the escalating hostility towards LGBTQIA+ communities in Indonesia. This surge in hostility is attributed to political rhetoric, discriminatory policies, and organised acts of intimidation, posing a serious threat to human rights and democratic values. The 'Anti-Boti' movement, which has gained traction online, exemplifies this trend by amplifying moral panic and calls to expose and punish individuals perceived as queer.</w:t>
      </w:r>
      <w:r/>
    </w:p>
    <w:p>
      <w:pPr>
        <w:pStyle w:val="ListNumber"/>
        <w:spacing w:line="240" w:lineRule="auto"/>
        <w:ind w:left="720"/>
      </w:pPr>
      <w:r/>
      <w:hyperlink r:id="rId11">
        <w:r>
          <w:rPr>
            <w:color w:val="0000EE"/>
            <w:u w:val="single"/>
          </w:rPr>
          <w:t>https://www.amnesty.id/kabar-terbaru/siaran-pers/usut-tuntas-kejahatan-persekusi-terhadap-transpuan-di-kota-bogor/07/2026/</w:t>
        </w:r>
      </w:hyperlink>
      <w:r>
        <w:t xml:space="preserve"> - Amnesty International Indonesia has called for a thorough investigation into the persecution of transgender women in Bogor, West Java. The organisation describes the attacks as severe human rights violations, urging the local government to implement protective measures to prevent similar incidents in the future. The violence is seen as a direct consequence of Presidential Regulation No. 111 of 2025, which classifies the spread of LGBTQ culture as a non-military threat, potentially legitimising such attacks.</w:t>
      </w:r>
      <w:r/>
    </w:p>
    <w:p>
      <w:pPr>
        <w:pStyle w:val="ListNumber"/>
        <w:spacing w:line="240" w:lineRule="auto"/>
        <w:ind w:left="720"/>
      </w:pPr>
      <w:r/>
      <w:hyperlink r:id="rId10">
        <w:r>
          <w:rPr>
            <w:color w:val="0000EE"/>
            <w:u w:val="single"/>
          </w:rPr>
          <w:t>https://www.thejakartapost.com/indonesia/2026/07/21/outrage-as-trans-women-targeted-in-mob-violence</w:t>
        </w:r>
      </w:hyperlink>
      <w:r>
        <w:t xml:space="preserve"> - A series of mob attacks targeting transgender women in Bogor, West Java, has sparked outrage among civil society groups. These groups attribute the violence to Presidential Regulation No. 111 of 2025, which classifies the spread of LGBTQ culture as a national threat, thereby justifying harassment and violence against the queer community. The attacks have intensified concerns about the safety and rights of LGBTQ individuals in Indonesia.</w:t>
      </w:r>
      <w:r/>
    </w:p>
    <w:p>
      <w:pPr>
        <w:pStyle w:val="ListNumber"/>
        <w:spacing w:line="240" w:lineRule="auto"/>
        <w:ind w:left="720"/>
      </w:pPr>
      <w:r/>
      <w:hyperlink r:id="rId15">
        <w:r>
          <w:rPr>
            <w:color w:val="0000EE"/>
            <w:u w:val="single"/>
          </w:rPr>
          <w:t>https://www.hrw.org/news/2026/07/07/indonesia-surge-in-abuse-against-lgbt-students</w:t>
        </w:r>
      </w:hyperlink>
      <w:r>
        <w:t xml:space="preserve"> - Human Rights Watch reports a surge in harassment and attacks against lesbian, gay, bisexual, and transgender (LGBT) university students in Indonesia during the June 2026 Pride Month celebrations. The organisation highlights the need for government action to address these abuses and protect the rights of LGBTQ students. The increase in violence underscores the challenges faced by the LGBTQ community in Indonesia amid a climate of rising hostility.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diplomat.com/2026/08/indonesias-transgender-community-is-facing-growing-repression/" TargetMode="External"/><Relationship Id="rId10" Type="http://schemas.openxmlformats.org/officeDocument/2006/relationships/hyperlink" Target="https://www.thejakartapost.com/indonesia/2026/07/21/outrage-as-trans-women-targeted-in-mob-violence" TargetMode="External"/><Relationship Id="rId11" Type="http://schemas.openxmlformats.org/officeDocument/2006/relationships/hyperlink" Target="https://www.amnesty.id/kabar-terbaru/siaran-pers/usut-tuntas-kejahatan-persekusi-terhadap-transpuan-di-kota-bogor/07/2026/" TargetMode="External"/><Relationship Id="rId12" Type="http://schemas.openxmlformats.org/officeDocument/2006/relationships/hyperlink" Target="https://www.asia-pacific-solidarity.net/news/2026-07-06/lawmakers-back-prabowos-regulation-categorising-lgbtq-threat-country.html" TargetMode="External"/><Relationship Id="rId13" Type="http://schemas.openxmlformats.org/officeDocument/2006/relationships/hyperlink" Target="https://www.asia-pacific-solidarity.net/news/2026-07-05/how-prabowo-designates-spread-lgbtq-culture-nonmilitary-threat.html" TargetMode="External"/><Relationship Id="rId14" Type="http://schemas.openxmlformats.org/officeDocument/2006/relationships/hyperlink" Target="https://www.weareaptn.org/2026/07/27/civil-society-organizations-condemns-escalating-hostility-against-lgbtqia-communities-in-indonesia/" TargetMode="External"/><Relationship Id="rId15" Type="http://schemas.openxmlformats.org/officeDocument/2006/relationships/hyperlink" Target="https://www.hrw.org/news/2026/07/07/indonesia-surge-in-abuse-against-lgbt-stud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