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Coming‑of‑Age Essays to Read After 'Swimming Dolphins' — personal essay recommendations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Shimmering with small domestic moments and big, private reckonings, Maria Fernanda García’s “Swimming Dolphins” reminds readers how an ordinary college year can reshape identity. Here’s why that essay lands, where it fits in queer coming‑of‑age writing, and which essays or themes to seek next if you loved its intimacy, sensory detail and slow burn of revelation.</w:t>
      </w:r>
      <w:r/>
    </w:p>
    <w:p>
      <w:r/>
      <w:r>
        <w:t>Essential Takeaways</w:t>
      </w:r>
      <w:r/>
      <w:r/>
    </w:p>
    <w:p>
      <w:pPr>
        <w:pStyle w:val="ListBullet"/>
        <w:spacing w:line="240" w:lineRule="auto"/>
        <w:ind w:left="720"/>
      </w:pPr>
      <w:r/>
      <w:r>
        <w:rPr>
          <w:b/>
        </w:rPr>
        <w:t>Immediate intimacy:</w:t>
      </w:r>
      <w:r>
        <w:t xml:space="preserve"> García’s piece uses domestic scenes and tactile details , apples, sheets, cigarettes , to convey a quiet rush of desire and fear.</w:t>
      </w:r>
      <w:r/>
    </w:p>
    <w:p>
      <w:pPr>
        <w:pStyle w:val="ListBullet"/>
        <w:spacing w:line="240" w:lineRule="auto"/>
        <w:ind w:left="720"/>
      </w:pPr>
      <w:r/>
      <w:r>
        <w:rPr>
          <w:b/>
        </w:rPr>
        <w:t>Cultural crossroads:</w:t>
      </w:r>
      <w:r>
        <w:t xml:space="preserve"> The essay explores immigration, family expectations and faith, giving the romance stakes beyond romance.</w:t>
      </w:r>
      <w:r/>
    </w:p>
    <w:p>
      <w:pPr>
        <w:pStyle w:val="ListBullet"/>
        <w:spacing w:line="240" w:lineRule="auto"/>
        <w:ind w:left="720"/>
      </w:pPr>
      <w:r/>
      <w:r>
        <w:rPr>
          <w:b/>
        </w:rPr>
        <w:t>Everyday settings matter:</w:t>
      </w:r>
      <w:r>
        <w:t xml:space="preserve"> Dorm rooms, beach rides and Halloween parties become charged stages for identity work.</w:t>
      </w:r>
      <w:r/>
    </w:p>
    <w:p>
      <w:pPr>
        <w:pStyle w:val="ListBullet"/>
        <w:spacing w:line="240" w:lineRule="auto"/>
        <w:ind w:left="720"/>
      </w:pPr>
      <w:r/>
      <w:r>
        <w:rPr>
          <w:b/>
        </w:rPr>
        <w:t>Sustained perspective:</w:t>
      </w:r>
      <w:r>
        <w:t xml:space="preserve"> The narrator’s reflection years later gives the story a gentle arc from confusion to lasting partnership.</w:t>
      </w:r>
      <w:r/>
    </w:p>
    <w:p>
      <w:pPr>
        <w:pStyle w:val="ListBullet"/>
        <w:spacing w:line="240" w:lineRule="auto"/>
        <w:ind w:left="720"/>
      </w:pPr>
      <w:r/>
      <w:r>
        <w:rPr>
          <w:b/>
        </w:rPr>
        <w:t>Look for essays that feel tactile:</w:t>
      </w:r>
      <w:r>
        <w:t xml:space="preserve"> If you liked the sensory language here, choose next reads that prize texture and small gestures.</w:t>
      </w:r>
      <w:r/>
      <w:r/>
    </w:p>
    <w:p>
      <w:pPr>
        <w:pStyle w:val="Heading2"/>
      </w:pPr>
      <w:r>
        <w:t>Why García’s essay lands: texture over spectacle</w:t>
      </w:r>
      <w:r/>
    </w:p>
    <w:p>
      <w:r/>
      <w:r>
        <w:t>The strongest thing about “Swimming Dolphins” is its steady sensory focus , the apple bite, the salt of tequila, the dolphin simile , which makes the emotional pivot feel inevitable rather than theatrical. Personal essays that trade on big confessions can feel sudden; this one doesn’t. It unfolds like a film: close-ups on hands, a soundtrack of Queen, and the steady background of family voices over the phone. If you’re hunting for essays that reward slow attention, this is your lane.</w:t>
      </w:r>
      <w:r/>
    </w:p>
    <w:p>
      <w:r/>
      <w:r>
        <w:t>Practical tip: when you read a new personal essay, note three domestic objects the writer uses , they often unlock why the piece feels intimate.</w:t>
      </w:r>
      <w:r/>
    </w:p>
    <w:p>
      <w:pPr>
        <w:pStyle w:val="Heading2"/>
      </w:pPr>
      <w:r>
        <w:t>Where it sits in queer coming‑of‑age traditions</w:t>
      </w:r>
      <w:r/>
    </w:p>
    <w:p>
      <w:r/>
      <w:r>
        <w:t>This story nests comfortably with other memoirs that pair private desire with cultural pressure , the tension of family expectation and the fear of being “found out” are classic beats. But García’s voice also complicates the trope by foregrounding migration and bilingual family dynamics; it’s not just about coming out, it’s about translating a whole imagined future. Essays that add social context to personal revelation will often feel richer and more durable.</w:t>
      </w:r>
      <w:r/>
    </w:p>
    <w:p>
      <w:r/>
      <w:r>
        <w:t>Recommendation: follow this with pieces that examine family and migration for a fuller sense of the landscape.</w:t>
      </w:r>
      <w:r/>
    </w:p>
    <w:p>
      <w:pPr>
        <w:pStyle w:val="Heading2"/>
      </w:pPr>
      <w:r>
        <w:t>Read next: essays that echo the same beats</w:t>
      </w:r>
      <w:r/>
    </w:p>
    <w:p>
      <w:r/>
      <w:r>
        <w:t>If you loved the dorm‑room choreography and the careful noticing of small gestures, look for essays that emphasise domestic detail, restrained revelation and lasting perspective. Seek out pieces where the narrator revisits a formative relationship from years later , that retrospective calm gives the reader a chance to breathe and reflect with the writer. Collections in literary magazines often compile these kinds of pieces; university press anthologies or queer literary journals are good places to look.</w:t>
      </w:r>
      <w:r/>
    </w:p>
    <w:p>
      <w:r/>
      <w:r>
        <w:t>Practical tip: university lit journals and queer community outlets often publish emerging voices exploring similar themes, so check their archives.</w:t>
      </w:r>
      <w:r/>
    </w:p>
    <w:p>
      <w:pPr>
        <w:pStyle w:val="Heading2"/>
      </w:pPr>
      <w:r>
        <w:t>What the piece teaches writers and readers</w:t>
      </w:r>
      <w:r/>
    </w:p>
    <w:p>
      <w:r/>
      <w:r>
        <w:t>For writers, García’s essay is a reminder that specificity sells emotion: a single well‑placed sensory line can do the work of paragraphs of explanation. For readers, it’s an example of how a small romantic episode can reveal larger truths about belonging, identity and the choices families expect from us. The narrative restraint , hesitating over the decision to speak, staying in the room with awkward silences , is what makes the final intimacy feel earned.</w:t>
      </w:r>
      <w:r/>
    </w:p>
    <w:p>
      <w:r/>
      <w:r>
        <w:t>Writing exercise: try a short scene focused on one object in a pivotal moment. Let the object guide the memory rather than the other way round.</w:t>
      </w:r>
      <w:r/>
    </w:p>
    <w:p>
      <w:pPr>
        <w:pStyle w:val="Heading2"/>
      </w:pPr>
      <w:r>
        <w:t>Broader conversations: queerness, culture and memory</w:t>
      </w:r>
      <w:r/>
    </w:p>
    <w:p>
      <w:r/>
      <w:r>
        <w:t>García’s story also connects to academic conversations about queer migration, memory and identity , fields that look at how belonging shifts across borders and time. Those more academic pieces can be dense, but they help frame personal stories within larger social forces. If you’re curious about context, essays and articles in cultural studies or queer theory can deepen how you understand the stakes of “private” moments.</w:t>
      </w:r>
      <w:r/>
    </w:p>
    <w:p>
      <w:r/>
      <w:r>
        <w:t>Practical tip: mix reading , an essay like this, paired with a short academic piece, will sharpen your sense of why these intimate scenes matter politically as well as personally.</w:t>
      </w:r>
      <w:r/>
    </w:p>
    <w:p>
      <w:r/>
      <w:r>
        <w:t>It's a small change to let more doors, windows and afternoons in literature like this , they make the private public, and the private political, all at once.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2">
        <w:r>
          <w:rPr>
            <w:color w:val="0000EE"/>
            <w:u w:val="single"/>
          </w:rPr>
          <w:t>[4]</w:t>
        </w:r>
      </w:hyperlink>
      <w:r>
        <w:t xml:space="preserve">- Paragraph 6: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https://queerloveproject.substack.com/p/maria-fernanda-garcia-essay-swimming-dolphins</w:t>
        </w:r>
      </w:hyperlink>
      <w:r>
        <w:t xml:space="preserve"> - Please view link - unable to able to access data</w:t>
      </w:r>
      <w:r/>
    </w:p>
    <w:p>
      <w:pPr>
        <w:pStyle w:val="ListNumber"/>
        <w:spacing w:line="240" w:lineRule="auto"/>
        <w:ind w:left="720"/>
      </w:pPr>
      <w:r/>
      <w:hyperlink r:id="rId10">
        <w:r>
          <w:rPr>
            <w:color w:val="0000EE"/>
            <w:u w:val="single"/>
          </w:rPr>
          <w:t>https://journals.sagepub.com/doi/abs/10.1177/0090591717712024</w:t>
        </w:r>
      </w:hyperlink>
      <w:r>
        <w:t xml:space="preserve"> - This article examines Rachel Carson's 'Silent Spring' as a work of love, advocating for an environmental politics rooted in desire rather than mere self-preservation. By analysing Carson's love letters to Dorothy Freeman, the author highlights how their relationship, intertwined with encounters with birds, challenges traditional notions of love and environmental activism, proposing a multispecies approach to understanding ecological issues.</w:t>
      </w:r>
      <w:r/>
    </w:p>
    <w:p>
      <w:pPr>
        <w:pStyle w:val="ListNumber"/>
        <w:spacing w:line="240" w:lineRule="auto"/>
        <w:ind w:left="720"/>
      </w:pPr>
      <w:r/>
      <w:hyperlink r:id="rId11">
        <w:r>
          <w:rPr>
            <w:color w:val="0000EE"/>
            <w:u w:val="single"/>
          </w:rPr>
          <w:t>https://journals.jcu.edu.au/index.php/etropic/article/view/4057</w:t>
        </w:r>
      </w:hyperlink>
      <w:r>
        <w:t xml:space="preserve"> - This essay reflects on a trans woman's experience of queer desire in the Brazilian tropics, exploring themes of womanhood, identity, and the complexities of trans existence. Drawing inspiration from Whitney Houston's 'I Wanna Dance with Somebody,' the author delves into the intersections of tropical nature and queer relations, aiming to redefine beauty and existence through a trans lens.</w:t>
      </w:r>
      <w:r/>
    </w:p>
    <w:p>
      <w:pPr>
        <w:pStyle w:val="ListNumber"/>
        <w:spacing w:line="240" w:lineRule="auto"/>
        <w:ind w:left="720"/>
      </w:pPr>
      <w:r/>
      <w:hyperlink r:id="rId12">
        <w:r>
          <w:rPr>
            <w:color w:val="0000EE"/>
            <w:u w:val="single"/>
          </w:rPr>
          <w:t>https://www.tandfonline.com/doi/abs/10.1080/0969725X.2023.2167783</w:t>
        </w:r>
      </w:hyperlink>
      <w:r>
        <w:t xml:space="preserve"> - This research introduces a queer hydropoetic investigation into the aesthetics and politics of pools, examining their roles as sites of aquatic enjoyment and revelation. By integrating queer ecologies with the blue humanities, the authors explore how submersion and immersion in these spaces can metaphorically relate to coming out, queer eroticism, and coalition politics.</w:t>
      </w:r>
      <w:r/>
    </w:p>
    <w:p>
      <w:pPr>
        <w:pStyle w:val="ListNumber"/>
        <w:spacing w:line="240" w:lineRule="auto"/>
        <w:ind w:left="720"/>
      </w:pPr>
      <w:r/>
      <w:hyperlink r:id="rId13">
        <w:r>
          <w:rPr>
            <w:color w:val="0000EE"/>
            <w:u w:val="single"/>
          </w:rPr>
          <w:t>https://www.tandfonline.com/doi/abs/10.1080/00141844.2019.1619606</w:t>
        </w:r>
      </w:hyperlink>
      <w:r>
        <w:t xml:space="preserve"> - This study explores the cultural significance of Amazonian pink dolphins among local communities, focusing on their portrayal as enchanted beings capable of transforming into humans and engaging in sexual relations. The research delves into the narratives surrounding these dolphins, highlighting their role in local imaginations and the complexities of interspecies interactions.</w:t>
      </w:r>
      <w:r/>
    </w:p>
    <w:p>
      <w:pPr>
        <w:pStyle w:val="ListNumber"/>
        <w:spacing w:line="240" w:lineRule="auto"/>
        <w:ind w:left="720"/>
      </w:pPr>
      <w:r/>
      <w:hyperlink r:id="rId14">
        <w:r>
          <w:rPr>
            <w:color w:val="0000EE"/>
            <w:u w:val="single"/>
          </w:rPr>
          <w:t>https://journals.sagepub.com/doi/10.1068/a38424</w:t>
        </w:r>
      </w:hyperlink>
      <w:r>
        <w:t xml:space="preserve"> - This paper investigates the representation of dolphins in New Zealand's ecotourism market, particularly in dolphin swim tours. By analysing promotional materials and conducting participant observation, the authors reveal how dolphins are depicted as both sexually promiscuous and maternally devoted, reflecting complex narratives constructed around these marine mammals.</w:t>
      </w:r>
      <w:r/>
    </w:p>
    <w:p>
      <w:pPr>
        <w:pStyle w:val="ListNumber"/>
        <w:spacing w:line="240" w:lineRule="auto"/>
        <w:ind w:left="720"/>
      </w:pPr>
      <w:r/>
      <w:hyperlink r:id="rId15">
        <w:r>
          <w:rPr>
            <w:color w:val="0000EE"/>
            <w:u w:val="single"/>
          </w:rPr>
          <w:t>https://experts.azregents.edu/en/publications/environmental-justice-cosmopolitics-and-climate-change/</w:t>
        </w:r>
      </w:hyperlink>
      <w:r>
        <w:t xml:space="preserve"> - This chapter discusses the intersection of environmental justice, cosmopolitics, and climate change, with a focus on the Amazon basin. It examines oral traditions about pink dolphins living in underwater cities, portraying them as lovers and seducers, and explores how these narratives challenge conventional environmental and cultural perspectives.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maria-fernanda-garcia-essay-swimming-dolphins" TargetMode="External"/><Relationship Id="rId10" Type="http://schemas.openxmlformats.org/officeDocument/2006/relationships/hyperlink" Target="https://journals.sagepub.com/doi/abs/10.1177/0090591717712024" TargetMode="External"/><Relationship Id="rId11" Type="http://schemas.openxmlformats.org/officeDocument/2006/relationships/hyperlink" Target="https://journals.jcu.edu.au/index.php/etropic/article/view/4057" TargetMode="External"/><Relationship Id="rId12" Type="http://schemas.openxmlformats.org/officeDocument/2006/relationships/hyperlink" Target="https://www.tandfonline.com/doi/abs/10.1080/0969725X.2023.2167783" TargetMode="External"/><Relationship Id="rId13" Type="http://schemas.openxmlformats.org/officeDocument/2006/relationships/hyperlink" Target="https://www.tandfonline.com/doi/abs/10.1080/00141844.2019.1619606" TargetMode="External"/><Relationship Id="rId14" Type="http://schemas.openxmlformats.org/officeDocument/2006/relationships/hyperlink" Target="https://journals.sagepub.com/doi/10.1068/a38424" TargetMode="External"/><Relationship Id="rId15" Type="http://schemas.openxmlformats.org/officeDocument/2006/relationships/hyperlink" Target="https://experts.azregents.edu/en/publications/environmental-justice-cosmopolitics-and-climate-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