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Close the Gap Between Policy and Safety for LGBTQ Youth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legal wins don’t always mean lives feel safer; parents, schools, clinics, and communities still leave many LGBTQ young people isolated and anxious, and that matters because mental health care gaps are a public‑health problem, not just a personal one.</w:t>
      </w:r>
      <w:r/>
    </w:p>
    <w:p>
      <w:r/>
      <w:r>
        <w:t>Essential Takeaways</w:t>
      </w:r>
      <w:r/>
      <w:r/>
    </w:p>
    <w:p>
      <w:pPr>
        <w:pStyle w:val="ListBullet"/>
        <w:spacing w:line="240" w:lineRule="auto"/>
        <w:ind w:left="720"/>
      </w:pPr>
      <w:r/>
      <w:r>
        <w:rPr>
          <w:b/>
        </w:rPr>
        <w:t>Policy vs. practice:</w:t>
      </w:r>
      <w:r>
        <w:t xml:space="preserve"> Legal protections exist in many places, but they don’t automatically create safe homes, schools, or clinics for LGBTQ youth.</w:t>
      </w:r>
      <w:r/>
    </w:p>
    <w:p>
      <w:pPr>
        <w:pStyle w:val="ListBullet"/>
        <w:spacing w:line="240" w:lineRule="auto"/>
        <w:ind w:left="720"/>
      </w:pPr>
      <w:r/>
      <w:r>
        <w:rPr>
          <w:b/>
        </w:rPr>
        <w:t>Access is thin:</w:t>
      </w:r>
      <w:r>
        <w:t xml:space="preserve"> Crisis lines and clinics see heavy demand, long waits, and overloaded providers, so support is often episodic rather than sustained.</w:t>
      </w:r>
      <w:r/>
    </w:p>
    <w:p>
      <w:pPr>
        <w:pStyle w:val="ListBullet"/>
        <w:spacing w:line="240" w:lineRule="auto"/>
        <w:ind w:left="720"/>
      </w:pPr>
      <w:r/>
      <w:r>
        <w:rPr>
          <w:b/>
        </w:rPr>
        <w:t>Intersectional harms:</w:t>
      </w:r>
      <w:r>
        <w:t xml:space="preserve"> Race, migration status, and faith amplify isolation for Afro‑ and Indo‑Caribbean young people, who may face layered stigma.</w:t>
      </w:r>
      <w:r/>
    </w:p>
    <w:p>
      <w:pPr>
        <w:pStyle w:val="ListBullet"/>
        <w:spacing w:line="240" w:lineRule="auto"/>
        <w:ind w:left="720"/>
      </w:pPr>
      <w:r/>
      <w:r>
        <w:rPr>
          <w:b/>
        </w:rPr>
        <w:t>What helps:</w:t>
      </w:r>
      <w:r>
        <w:t xml:space="preserve"> Culturally competent services, school policies that are enforced, family support programmes, and better funding for mental‑health pipelines.</w:t>
      </w:r>
      <w:r/>
    </w:p>
    <w:p>
      <w:pPr>
        <w:pStyle w:val="ListBullet"/>
        <w:spacing w:line="240" w:lineRule="auto"/>
        <w:ind w:left="720"/>
      </w:pPr>
      <w:r/>
      <w:r>
        <w:rPr>
          <w:b/>
        </w:rPr>
        <w:t>Feel of it:</w:t>
      </w:r>
      <w:r>
        <w:t xml:space="preserve"> Young people report strained trust, quiet desperation, and relief when they finally find a provider who understands their lived realities.</w:t>
      </w:r>
      <w:r/>
      <w:r/>
    </w:p>
    <w:p>
      <w:pPr>
        <w:pStyle w:val="Heading2"/>
      </w:pPr>
      <w:r>
        <w:t>Why policy progress can feel hollow to young people</w:t>
      </w:r>
      <w:r/>
    </w:p>
    <w:p>
      <w:r/>
      <w:r>
        <w:t>Start with the obvious pain: a law or policy can change words on paper while a teen’s bedroom door stays shut. According to recent research, crisis‑line usage and other indicators show demand outstrips supply, so many young people who reach out don’t get ongoing care. Reporters and advocates keep pointing out the same mismatch: rights accrue faster than the supports that make rights meaningful. That’s why activists say we need to treat mental health as social infrastructure, not an individual shortcoming.</w:t>
      </w:r>
      <w:r/>
    </w:p>
    <w:p>
      <w:pPr>
        <w:pStyle w:val="Heading2"/>
      </w:pPr>
      <w:r>
        <w:t>The broken pipeline: crisis calls, long waits, scarce therapists</w:t>
      </w:r>
      <w:r/>
    </w:p>
    <w:p>
      <w:r/>
      <w:r>
        <w:t>If you’ve ever needed help and been told to wait, you’ll know how sharp the feeling is. Studies tracking crisis‑line use and care access reveal a system where providers are overloaded and follow‑up is inconsistent. Reuters and advocacy groups have documented long waits and patchy referral networks; the result is repeated crisis contacts rather than steady therapy. Practical fix: invest in workforce expansion, telehealth where appropriate, and better coordination between schools, clinics, and crisis services so care isn’t a lucky break but a reliable option.</w:t>
      </w:r>
      <w:r/>
    </w:p>
    <w:p>
      <w:pPr>
        <w:pStyle w:val="Heading2"/>
      </w:pPr>
      <w:r>
        <w:t>Schools and families: policy without enforcement leaves gaps</w:t>
      </w:r>
      <w:r/>
    </w:p>
    <w:p>
      <w:r/>
      <w:r>
        <w:t>Schools often sit at the frontline but vary wildly in their response. Local reporting from several US cities shows politics and inconsistent training can hamstring support staff, leaving anti‑bullying rules as slogans rather than safeguards. Families matter hugely, too; for many Afro‑ and Indo‑Caribbean households, cultural survival can make conversations about sexuality fraught. Programmes that help parents learn language, boundaries and practical ways to show support make a real difference, and schools that back those programmes show better attendance and wellbeing.</w:t>
      </w:r>
      <w:r/>
    </w:p>
    <w:p>
      <w:pPr>
        <w:pStyle w:val="Heading2"/>
      </w:pPr>
      <w:r>
        <w:t>Why cultural competence must be central, not optional</w:t>
      </w:r>
      <w:r/>
    </w:p>
    <w:p>
      <w:r/>
      <w:r>
        <w:t>When services are culturally blind, youth slip through. Research and human‑rights reporting point to a particular danger for racially minoritised LGBTQ youth who navigate religion, migration and respectability politics alongside their sexuality or gender identity. The result is layered shame and less help‑seeking. Services need to recruit diverse clinicians, fund community‑led groups, and embed training on intersectionality so support feels recognisably for the young person in front of you, not a one‑size template.</w:t>
      </w:r>
      <w:r/>
    </w:p>
    <w:p>
      <w:pPr>
        <w:pStyle w:val="Heading2"/>
      </w:pPr>
      <w:r>
        <w:t>Local politics changes access fast , watch the patchwork</w:t>
      </w:r>
      <w:r/>
    </w:p>
    <w:p>
      <w:r/>
      <w:r>
        <w:t>Coverage from local outlets illustrates another tough truth: geography matters. Cities, counties and states vary in funding, political will and the legal landscape, so a teen’s safety can depend on postcode. Where politics hamper mental‑health initiatives, waitlists swell and community groups pick up the slack. That patchwork means national policy progress can’t be the end goal; it’s the foundation for local investment and accountability that ensures care reaches school corridors and kitchen tables.</w:t>
      </w:r>
      <w:r/>
    </w:p>
    <w:p>
      <w:pPr>
        <w:pStyle w:val="Heading2"/>
      </w:pPr>
      <w:r>
        <w:t>Practical steps parents, schools and policymakers can take now</w:t>
      </w:r>
      <w:r/>
    </w:p>
    <w:p>
      <w:r/>
      <w:r>
        <w:t>You don’t need to reinvent the wheel. Funded school counsellors, clear reporting and enforcement of anti‑bullying policies, crisis‑to‑care pathways that guarantee follow‑up, and culturally specific family support programmes all reduce harm quickly. For clinicians, flexible scheduling, teletherapy options and community partnerships help reach youth who can’t or won’t access mainstream clinics. And for everyone: listen first, make referrals second, and make sure the young person sees the same trusted adult more than once.</w:t>
      </w:r>
      <w:r/>
    </w:p>
    <w:p>
      <w:r/>
      <w:r>
        <w:t>It's a small change in approach that can make every policy count in a young person’s day‑to‑day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2">
        <w:r>
          <w:rPr>
            <w:color w:val="0000EE"/>
            <w:u w:val="single"/>
          </w:rPr>
          <w:t>[6]</w:t>
        </w:r>
      </w:hyperlink>
      <w:r>
        <w:t xml:space="preserve">- Paragraph 5: </w:t>
      </w:r>
      <w:hyperlink r:id="rId13">
        <w:r>
          <w:rPr>
            <w:color w:val="0000EE"/>
            <w:u w:val="single"/>
          </w:rPr>
          <w:t>[4]</w:t>
        </w:r>
      </w:hyperlink>
      <w:r>
        <w:t xml:space="preserve">, </w:t>
      </w:r>
      <w:hyperlink r:id="rId11">
        <w:r>
          <w:rPr>
            <w:color w:val="0000EE"/>
            <w:u w:val="single"/>
          </w:rPr>
          <w:t>[3]</w:t>
        </w:r>
      </w:hyperlink>
      <w:r>
        <w:t xml:space="preserve">- Paragraph 6: </w:t>
      </w:r>
      <w:hyperlink r:id="rId12">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https://tcn-now.com/why-lgbtq-youth-still-hurt/</w:t>
        </w:r>
      </w:hyperlink>
      <w:r>
        <w:t xml:space="preserve"> - Please view link - unable to able to access data</w:t>
      </w:r>
      <w:r/>
    </w:p>
    <w:p>
      <w:pPr>
        <w:pStyle w:val="ListNumber"/>
        <w:spacing w:line="240" w:lineRule="auto"/>
        <w:ind w:left="720"/>
      </w:pPr>
      <w:r/>
      <w:hyperlink r:id="rId10">
        <w:r>
          <w:rPr>
            <w:color w:val="0000EE"/>
            <w:u w:val="single"/>
          </w:rPr>
          <w:t>https://www.cambridge.org/core/journals/global-mental-health/article/crisis-line-use-and-mental-health-care-access-among-lgbtq-young-people-in-the-united-states/DFE0CD318050FFC00ECF7FC8421AA1EA</w:t>
        </w:r>
      </w:hyperlink>
      <w:r>
        <w:t xml:space="preserve"> - A study published in Cambridge Prisms: Global Mental Health examines the mental health care access among LGBTQ+ young people in the United States. The research reveals that while a significant majority desire psychological or emotional counseling, only half receive it. Barriers to care include fear of discussing mental health concerns, affordability issues, and parental consent requirements. The study also highlights that LGBTQ+ youth who accessed crisis services reported higher rates of suicidal ideation and attempts compared to those who received one-on-one therapy, underscoring the need for improved mental health support systems for this population.</w:t>
      </w:r>
      <w:r/>
    </w:p>
    <w:p>
      <w:pPr>
        <w:pStyle w:val="ListNumber"/>
        <w:spacing w:line="240" w:lineRule="auto"/>
        <w:ind w:left="720"/>
      </w:pPr>
      <w:r/>
      <w:hyperlink r:id="rId11">
        <w:r>
          <w:rPr>
            <w:color w:val="0000EE"/>
            <w:u w:val="single"/>
          </w:rPr>
          <w:t>https://www.axios.com/2025/03/05/lgbtq-youth-hurdles-mental-health-trevor-project</w:t>
        </w:r>
      </w:hyperlink>
      <w:r>
        <w:t xml:space="preserve"> - A report from The Trevor Project highlights the mental health challenges faced by LGBTQ+ youth in the United States, emphasizing the impact of bullying, discrimination, and restrictive policies. Despite an increase in the number of LGBTQ+ adults, systemic barriers prevent many young people from accessing necessary care. Factors such as cost, fear of not being taken seriously, and anxiety over discussing mental health issues are identified as key obstacles. The report also notes that even in states with supportive policies, LGBTQ+ youth continue to report high rates of suicide risk and victimization.</w:t>
      </w:r>
      <w:r/>
    </w:p>
    <w:p>
      <w:pPr>
        <w:pStyle w:val="ListNumber"/>
        <w:spacing w:line="240" w:lineRule="auto"/>
        <w:ind w:left="720"/>
      </w:pPr>
      <w:r/>
      <w:hyperlink r:id="rId13">
        <w:r>
          <w:rPr>
            <w:color w:val="0000EE"/>
            <w:u w:val="single"/>
          </w:rPr>
          <w:t>https://www.axios.com/local/detroit/2025/03/11/politics-hamper-young-lgbtq-michiganders-mental-health</w:t>
        </w:r>
      </w:hyperlink>
      <w:r>
        <w:t xml:space="preserve"> - A report highlights the detrimental effects of politics on the mental health of young LGBTQ+ individuals in Michigan. Despite progress, including the 2023 expansion of the Elliott-Larsen Civil Rights Act to protect LGBTQ+ individuals, stigma and political hostility persist. Approximately 68% of LGBTQ+ youth in Michigan experienced anxiety and 52% faced depression in the past year; 42% of transgender and nonbinary youth seriously considered suicide. Over 1 in 5 reported being physically threatened due to their identity. Advocates stress that these mental health outcomes stem not from being LGBTQ+ but from societal stigma and discrimination.</w:t>
      </w:r>
      <w:r/>
    </w:p>
    <w:p>
      <w:pPr>
        <w:pStyle w:val="ListNumber"/>
        <w:spacing w:line="240" w:lineRule="auto"/>
        <w:ind w:left="720"/>
      </w:pPr>
      <w:r/>
      <w:hyperlink r:id="rId14">
        <w:r>
          <w:rPr>
            <w:color w:val="0000EE"/>
            <w:u w:val="single"/>
          </w:rPr>
          <w:t>https://www.axios.com/local/twin-cities/2025/03/13/lgbtq-youth-minnesota-mental-health-support-survey</w:t>
        </w:r>
      </w:hyperlink>
      <w:r>
        <w:t xml:space="preserve"> - A recent Trevor Project survey sheds light on the mental health struggles faced by LGBTQ+ youth in Minnesota, highlighting increasing concerns fueled by stigma, bullying, and political discourse despite new state protections. Among 421 LGBTQ+ individuals aged 13 to 23 surveyed in fall 2023, over one-third seriously considered suicide, nearly two-thirds reported experiencing anxiety, and just over half reported depression. About 25% faced physical threats or harm based on their identity, yet nearly 80% said their communities are generally accepting. However, nearly all respondents believe politics negatively impact their well-being, a sentiment exacerbated following the 2024 election which brought trans rights to the forefront.</w:t>
      </w:r>
      <w:r/>
    </w:p>
    <w:p>
      <w:pPr>
        <w:pStyle w:val="ListNumber"/>
        <w:spacing w:line="240" w:lineRule="auto"/>
        <w:ind w:left="720"/>
      </w:pPr>
      <w:r/>
      <w:hyperlink r:id="rId12">
        <w:r>
          <w:rPr>
            <w:color w:val="0000EE"/>
            <w:u w:val="single"/>
          </w:rPr>
          <w:t>https://reports.hrc.org/2023-lgbtq-youth-report</w:t>
        </w:r>
      </w:hyperlink>
      <w:r>
        <w:t xml:space="preserve"> - The Human Rights Campaign's 2023 LGBTQ+ Youth Report reveals alarming statistics about the mental health of LGBTQ+ youth. Almost 6 in 10 LGBTQ+ youth, including 62.6% of transgender and gender-expansive youth, have been 'teased, bullied, or treated badly' at school in the prior year. More than half of LGBQ+ youth and transgender and gender-expansive youth were victimized specifically due to their sexual identity, gender identity, and/or gender expression. The report also highlights higher rates of depression, anxiety, and stress among LGBTQ+ youth compared to their non-LGBTQ+ peers.</w:t>
      </w:r>
      <w:r/>
    </w:p>
    <w:p>
      <w:pPr>
        <w:pStyle w:val="ListNumber"/>
        <w:spacing w:line="240" w:lineRule="auto"/>
        <w:ind w:left="720"/>
      </w:pPr>
      <w:r/>
      <w:hyperlink r:id="rId15">
        <w:r>
          <w:rPr>
            <w:color w:val="0000EE"/>
            <w:u w:val="single"/>
          </w:rPr>
          <w:t>https://www.psychiatry.org/news-room/apa-blogs/lgbtq-youth-social-support-and-safe-spaces</w:t>
        </w:r>
      </w:hyperlink>
      <w:r>
        <w:t xml:space="preserve"> - An article from the American Psychiatric Association discusses the mental health challenges faced by LGBTQ+ youth and the importance of social support and safe spaces. The article references a study by The Trevor Project, which found that more than four in 10 LGBTQ+ youth seriously considered suicide in the past year. Additionally, nearly half of LGBTQ+ youth reported wanting psychological or emotional counseling but were unable to receive it. The article emphasizes the need for supportive environments to protect the mental health and well-being of LGBTQ+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cn-now.com/why-lgbtq-youth-still-hurt/" TargetMode="External"/><Relationship Id="rId10" Type="http://schemas.openxmlformats.org/officeDocument/2006/relationships/hyperlink" Target="https://www.cambridge.org/core/journals/global-mental-health/article/crisis-line-use-and-mental-health-care-access-among-lgbtq-young-people-in-the-united-states/DFE0CD318050FFC00ECF7FC8421AA1EA" TargetMode="External"/><Relationship Id="rId11" Type="http://schemas.openxmlformats.org/officeDocument/2006/relationships/hyperlink" Target="https://www.axios.com/2025/03/05/lgbtq-youth-hurdles-mental-health-trevor-project" TargetMode="External"/><Relationship Id="rId12" Type="http://schemas.openxmlformats.org/officeDocument/2006/relationships/hyperlink" Target="https://reports.hrc.org/2023-lgbtq-youth-report" TargetMode="External"/><Relationship Id="rId13" Type="http://schemas.openxmlformats.org/officeDocument/2006/relationships/hyperlink" Target="https://www.axios.com/local/detroit/2025/03/11/politics-hamper-young-lgbtq-michiganders-mental-health" TargetMode="External"/><Relationship Id="rId14" Type="http://schemas.openxmlformats.org/officeDocument/2006/relationships/hyperlink" Target="https://www.axios.com/local/twin-cities/2025/03/13/lgbtq-youth-minnesota-mental-health-support-survey" TargetMode="External"/><Relationship Id="rId15" Type="http://schemas.openxmlformats.org/officeDocument/2006/relationships/hyperlink" Target="https://www.psychiatry.org/news-room/apa-blogs/lgbtq-youth-social-support-and-safe-spa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