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Alliance Defending Freedom’s Legal Wins and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voters alike are noticing how one conservative legal group has shaped US law: Alliance Defending Freedom (ADF) has driven a string of high-profile Supreme Court and state victories affecting abortion, LGBTQ rights and trans healthcare , here’s a clear, practical guide to what they did, why it matters, and how to think about the fallout.</w:t>
      </w:r>
      <w:r/>
    </w:p>
    <w:p>
      <w:r/>
      <w:r>
        <w:t>Essential Takeaways</w:t>
      </w:r>
      <w:r/>
      <w:r/>
    </w:p>
    <w:p>
      <w:pPr>
        <w:pStyle w:val="ListBullet"/>
        <w:spacing w:line="240" w:lineRule="auto"/>
        <w:ind w:left="720"/>
      </w:pPr>
      <w:r/>
      <w:r>
        <w:rPr>
          <w:b/>
        </w:rPr>
        <w:t>Legal powerhouse:</w:t>
      </w:r>
      <w:r>
        <w:t xml:space="preserve"> ADF has litigated and backed dozens of major cases since 1994, positioning itself as a leading defender of religious liberty and conservative social policy.</w:t>
      </w:r>
      <w:r/>
    </w:p>
    <w:p>
      <w:pPr>
        <w:pStyle w:val="ListBullet"/>
        <w:spacing w:line="240" w:lineRule="auto"/>
        <w:ind w:left="720"/>
      </w:pPr>
      <w:r/>
      <w:r>
        <w:rPr>
          <w:b/>
        </w:rPr>
        <w:t>Strategic playbook:</w:t>
      </w:r>
      <w:r>
        <w:t xml:space="preserve"> They fund select cases, build allied attorney networks and create model legislation to create precedents and influence state law.</w:t>
      </w:r>
      <w:r/>
    </w:p>
    <w:p>
      <w:pPr>
        <w:pStyle w:val="ListBullet"/>
        <w:spacing w:line="240" w:lineRule="auto"/>
        <w:ind w:left="720"/>
      </w:pPr>
      <w:r/>
      <w:r>
        <w:rPr>
          <w:b/>
        </w:rPr>
        <w:t>Tangible outcomes:</w:t>
      </w:r>
      <w:r>
        <w:t xml:space="preserve"> ADF has helped shape rulings and state laws on abortion, marriage, transgender rights and conversion therapy , with wins that ripple beyond individual plaintiffs.</w:t>
      </w:r>
      <w:r/>
    </w:p>
    <w:p>
      <w:pPr>
        <w:pStyle w:val="ListBullet"/>
        <w:spacing w:line="240" w:lineRule="auto"/>
        <w:ind w:left="720"/>
      </w:pPr>
      <w:r/>
      <w:r>
        <w:rPr>
          <w:b/>
        </w:rPr>
        <w:t>Sensory note:</w:t>
      </w:r>
      <w:r>
        <w:t xml:space="preserve"> The group’s campaigning feels relentless and carefully choreographed , the messaging is polished, the legal briefs are dense.</w:t>
      </w:r>
      <w:r/>
    </w:p>
    <w:p>
      <w:pPr>
        <w:pStyle w:val="ListBullet"/>
        <w:spacing w:line="240" w:lineRule="auto"/>
        <w:ind w:left="720"/>
      </w:pPr>
      <w:r/>
      <w:r>
        <w:rPr>
          <w:b/>
        </w:rPr>
        <w:t>Practical consequence:</w:t>
      </w:r>
      <w:r>
        <w:t xml:space="preserve"> If you work in education, healthcare, or local government, ADF’s work can change policy on bathrooms, sports eligibility and counselling practices where you live.</w:t>
      </w:r>
      <w:r/>
      <w:r/>
    </w:p>
    <w:p>
      <w:pPr>
        <w:pStyle w:val="Heading2"/>
      </w:pPr>
      <w:r>
        <w:t>How ADF built a national playbook , and why it looks familiar</w:t>
      </w:r>
      <w:r/>
    </w:p>
    <w:p>
      <w:r/>
      <w:r>
        <w:t>ADF launched in 1994 as a faith-based counterweight to civil-rights lawyers and quickly adopted a strategic approach: choose test cases, bankroll litigation and cultivate friendly lawyers. The effect is that a handful of carefully litigated cases can set national precedent, not just local outcomes. That playbook explains why decisions in areas like marriage, healthcare and schools often trace back to a handful of coordinated legal moves, and why communities feel the impact long after a press cycle ends. For readers, the takeaway is simple: a single organisation with deep legal resources can steer public policy in very visible ways.</w:t>
      </w:r>
      <w:r/>
    </w:p>
    <w:p>
      <w:pPr>
        <w:pStyle w:val="Heading2"/>
      </w:pPr>
      <w:r>
        <w:t>The long game: training lawyers and drafting model laws</w:t>
      </w:r>
      <w:r/>
    </w:p>
    <w:p>
      <w:r/>
      <w:r>
        <w:t>ADF didn’t rely only on courtroom drama. They created training programmes and networks to multiply their reach , teaching lawyers to frame cases around religious freedom, free speech and parental rights. They also drafted model bills used by state legislators, so language migrates quickly from one statehouse to another. That combination of legal education plus model legislation is how ideas go from an opinion piece to an enforceable rule in months rather than years. If you’re tracking local bills on bathrooms or sports, expect familiar wording; it’s often deliberate.</w:t>
      </w:r>
      <w:r/>
    </w:p>
    <w:p>
      <w:pPr>
        <w:pStyle w:val="Heading2"/>
      </w:pPr>
      <w:r>
        <w:t>Landmark cases and the ripple effects you’ll notice</w:t>
      </w:r>
      <w:r/>
    </w:p>
    <w:p>
      <w:r/>
      <w:r>
        <w:t>Over three decades, ADF has been involved in many headline-grabbing fights that affect everyday life: disputes over wedding services, student groups, employer benefits and sports teams. Some rulings expand exemptions for faith-based actors, others reshape anti-discrimination rules, and still others influence medical and school policies. These decisions don’t just settle a single dispute , they prompt institutions to rewrite handbooks, adjust hiring practices and rework student codes. Practically, that means HR teams, school leaders and clinicians need to keep a close eye on precedent to avoid legal risks.</w:t>
      </w:r>
      <w:r/>
    </w:p>
    <w:p>
      <w:pPr>
        <w:pStyle w:val="Heading2"/>
      </w:pPr>
      <w:r>
        <w:t>Conversion therapy, trans rights and the practical stakes</w:t>
      </w:r>
      <w:r/>
    </w:p>
    <w:p>
      <w:r/>
      <w:r>
        <w:t>ADF has repeatedly targeted policies that protect transgender youth, from bathroom access to sports participation and therapy rules. Their strategy includes pre-emptive lawsuits and challenges to bans on conversion therapy, with the explicit aim of making certain practices legally permissible again. For parents, educators and counsellors, the change translates into real tensions: who decides what care looks like, and who gets to opt out of inclusive policies. If you work with young people, the sensible step is to document consent, follow professional standards and get clear legal advice when policies change.</w:t>
      </w:r>
      <w:r/>
    </w:p>
    <w:p>
      <w:pPr>
        <w:pStyle w:val="Heading2"/>
      </w:pPr>
      <w:r>
        <w:t>What to watch next , and how communities can respond</w:t>
      </w:r>
      <w:r/>
    </w:p>
    <w:p>
      <w:r/>
      <w:r>
        <w:t>ADF works nationally and internationally, so future fights will likely continue at both statehouses and high courts. Expect more cases that frame disputes as clashes between religious freedom and anti-discrimination protections. Communities can respond in practical ways: track model bill language, update local policies, and create clear, compassionate guidance for staff and families. Civic engagement matters here , public comment at school board meetings and state legislative sessions often shapes how these legal templates are implemented on the ground.</w:t>
      </w:r>
      <w:r/>
    </w:p>
    <w:p>
      <w:r/>
      <w:r>
        <w:t>It's a small change that can make every policy encounter safer and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[4]</w:t>
        </w:r>
      </w:hyperlink>
      <w:r>
        <w:t xml:space="preserve">, </w:t>
      </w:r>
      <w:hyperlink r:id="rId11">
        <w:r>
          <w:rPr>
            <w:color w:val="0000EE"/>
            <w:u w:val="single"/>
          </w:rPr>
          <w:t>[5]</w:t>
        </w:r>
      </w:hyperlink>
      <w:r>
        <w:t xml:space="preserve">- Paragraph 3: </w:t>
      </w:r>
      <w:hyperlink r:id="rId11">
        <w:r>
          <w:rPr>
            <w:color w:val="0000EE"/>
            <w:u w:val="single"/>
          </w:rPr>
          <w:t>[6]</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1">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https://www.unclosetedmedia.com/p/alliance-defending-freedoms-complete</w:t>
        </w:r>
      </w:hyperlink>
      <w:r>
        <w:t xml:space="preserve"> - Please view link - unable to able to access data</w:t>
      </w:r>
      <w:r/>
    </w:p>
    <w:p>
      <w:pPr>
        <w:pStyle w:val="ListNumber"/>
        <w:spacing w:line="240" w:lineRule="auto"/>
        <w:ind w:left="720"/>
      </w:pPr>
      <w:r/>
      <w:hyperlink r:id="rId10">
        <w:r>
          <w:rPr>
            <w:color w:val="0000EE"/>
            <w:u w:val="single"/>
          </w:rPr>
          <w:t>https://www.splcenter.org/hate-and-extremism/hate-and-extremist-groups/anti-lgbtq-hate-groups</w:t>
        </w:r>
      </w:hyperlink>
      <w:r>
        <w:t xml:space="preserve"> - The Southern Poverty Law Center (SPLC) designates the Alliance Defending Freedom (ADF) as an anti-LGBTQ hate group. The SPLC's Hate and Extremist Groups page provides information on various organizations that promote hate and extremism, including ADF. The SPLC's designation is based on ADF's history of opposing LGBTQ rights and its involvement in legal cases that challenge LGBTQ protections. The SPLC monitors and reports on hate groups to inform the public and policymakers about the activities of such organizations.</w:t>
      </w:r>
      <w:r/>
    </w:p>
    <w:p>
      <w:pPr>
        <w:pStyle w:val="ListNumber"/>
        <w:spacing w:line="240" w:lineRule="auto"/>
        <w:ind w:left="720"/>
      </w:pPr>
      <w:r/>
      <w:hyperlink r:id="rId11">
        <w:r>
          <w:rPr>
            <w:color w:val="0000EE"/>
            <w:u w:val="single"/>
          </w:rPr>
          <w:t>https://www.adflegal.org/press-release/amicus-briefs-filed-supreme-court-case-overturning-roe-v-wade</w:t>
        </w:r>
      </w:hyperlink>
      <w:r>
        <w:t xml:space="preserve"> - In the Supreme Court case Dobbs v. Jackson Women's Health Organization, which overturned Roe v. Wade, the Alliance Defending Freedom (ADF) filed amicus briefs supporting the Mississippi law that bans most abortions after 15 weeks. ADF argued that the Constitution does not confer a right to abortion and that the issue should be returned to the states. The Supreme Court's decision in this case significantly altered abortion rights in the United States, and ADF's involvement was part of its broader efforts to challenge abortion laws.</w:t>
      </w:r>
      <w:r/>
    </w:p>
    <w:p>
      <w:pPr>
        <w:pStyle w:val="ListNumber"/>
        <w:spacing w:line="240" w:lineRule="auto"/>
        <w:ind w:left="720"/>
      </w:pPr>
      <w:r/>
      <w:hyperlink r:id="rId11">
        <w:r>
          <w:rPr>
            <w:color w:val="0000EE"/>
            <w:u w:val="single"/>
          </w:rPr>
          <w:t>https://www.adflegal.org/press-release/amicus-briefs-filed-supreme-court-case-overturning-roe-v-wade</w:t>
        </w:r>
      </w:hyperlink>
      <w:r>
        <w:t xml:space="preserve"> - In the Supreme Court case Dobbs v. Jackson Women's Health Organization, which overturned Roe v. Wade, the Alliance Defending Freedom (ADF) filed amicus briefs supporting the Mississippi law that bans most abortions after 15 weeks. ADF argued that the Constitution does not confer a right to abortion and that the issue should be returned to the states. The Supreme Court's decision in this case significantly altered abortion rights in the United States, and ADF's involvement was part of its broader efforts to challenge abortion laws.</w:t>
      </w:r>
      <w:r/>
    </w:p>
    <w:p>
      <w:pPr>
        <w:pStyle w:val="ListNumber"/>
        <w:spacing w:line="240" w:lineRule="auto"/>
        <w:ind w:left="720"/>
      </w:pPr>
      <w:r/>
      <w:hyperlink r:id="rId11">
        <w:r>
          <w:rPr>
            <w:color w:val="0000EE"/>
            <w:u w:val="single"/>
          </w:rPr>
          <w:t>https://www.adflegal.org/press-release/amicus-briefs-filed-supreme-court-case-overturning-roe-v-wade</w:t>
        </w:r>
      </w:hyperlink>
      <w:r>
        <w:t xml:space="preserve"> - In the Supreme Court case Dobbs v. Jackson Women's Health Organization, which overturned Roe v. Wade, the Alliance Defending Freedom (ADF) filed amicus briefs supporting the Mississippi law that bans most abortions after 15 weeks. ADF argued that the Constitution does not confer a right to abortion and that the issue should be returned to the states. The Supreme Court's decision in this case significantly altered abortion rights in the United States, and ADF's involvement was part of its broader efforts to challenge abortion laws.</w:t>
      </w:r>
      <w:r/>
    </w:p>
    <w:p>
      <w:pPr>
        <w:pStyle w:val="ListNumber"/>
        <w:spacing w:line="240" w:lineRule="auto"/>
        <w:ind w:left="720"/>
      </w:pPr>
      <w:r/>
      <w:hyperlink r:id="rId11">
        <w:r>
          <w:rPr>
            <w:color w:val="0000EE"/>
            <w:u w:val="single"/>
          </w:rPr>
          <w:t>https://www.adflegal.org/press-release/amicus-briefs-filed-supreme-court-case-overturning-roe-v-wade</w:t>
        </w:r>
      </w:hyperlink>
      <w:r>
        <w:t xml:space="preserve"> - In the Supreme Court case Dobbs v. Jackson Women's Health Organization, which overturned Roe v. Wade, the Alliance Defending Freedom (ADF) filed amicus briefs supporting the Mississippi law that bans most abortions after 15 weeks. ADF argued that the Constitution does not confer a right to abortion and that the issue should be returned to the states. The Supreme Court's decision in this case significantly altered abortion rights in the United States, and ADF's involvement was part of its broader efforts to challenge abortion laws.</w:t>
      </w:r>
      <w:r/>
    </w:p>
    <w:p>
      <w:pPr>
        <w:pStyle w:val="ListNumber"/>
        <w:spacing w:line="240" w:lineRule="auto"/>
        <w:ind w:left="720"/>
      </w:pPr>
      <w:r/>
      <w:hyperlink r:id="rId11">
        <w:r>
          <w:rPr>
            <w:color w:val="0000EE"/>
            <w:u w:val="single"/>
          </w:rPr>
          <w:t>https://www.adflegal.org/press-release/amicus-briefs-filed-supreme-court-case-overturning-roe-v-wade</w:t>
        </w:r>
      </w:hyperlink>
      <w:r>
        <w:t xml:space="preserve"> - In the Supreme Court case Dobbs v. Jackson Women's Health Organization, which overturned Roe v. Wade, the Alliance Defending Freedom (ADF) filed amicus briefs supporting the Mississippi law that bans most abortions after 15 weeks. ADF argued that the Constitution does not confer a right to abortion and that the issue should be returned to the states. The Supreme Court's decision in this case significantly altered abortion rights in the United States, and ADF's involvement was part of its broader efforts to challenge abortion laws.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closetedmedia.com/p/alliance-defending-freedoms-complete" TargetMode="External"/><Relationship Id="rId10" Type="http://schemas.openxmlformats.org/officeDocument/2006/relationships/hyperlink" Target="https://www.splcenter.org/hate-and-extremism/hate-and-extremist-groups/anti-lgbtq-hate-groups" TargetMode="External"/><Relationship Id="rId11" Type="http://schemas.openxmlformats.org/officeDocument/2006/relationships/hyperlink" Target="https://www.adflegal.org/press-release/amicus-briefs-filed-supreme-court-case-overturning-roe-v-w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