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Threats to LGBT+ Safety: Why Online Platforms Matter as Much as Institutions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threats to LGBT+ people have shifted , from courts and churches to feeds and platforms , and why that change matters for safety, rights and everyday life. Activists, historians and courts are re-fighting old battles in new arenas, and the outcome will shape what queer visibility looks like.</w:t>
      </w:r>
      <w:r/>
    </w:p>
    <w:p>
      <w:r/>
      <w:r>
        <w:t>Essential takeaways</w:t>
      </w:r>
      <w:r/>
      <w:r/>
    </w:p>
    <w:p>
      <w:pPr>
        <w:pStyle w:val="ListBullet"/>
        <w:spacing w:line="240" w:lineRule="auto"/>
        <w:ind w:left="720"/>
      </w:pPr>
      <w:r/>
      <w:r>
        <w:rPr>
          <w:b/>
        </w:rPr>
        <w:t>Historic legal harm:</w:t>
      </w:r>
      <w:r>
        <w:t xml:space="preserve"> Article 248bis criminalised sexual contact with 16–21 year-olds and drove thousands into prosecutions and psychiatric interventions. </w:t>
      </w:r>
      <w:r/>
    </w:p>
    <w:p>
      <w:pPr>
        <w:pStyle w:val="ListBullet"/>
        <w:spacing w:line="240" w:lineRule="auto"/>
        <w:ind w:left="720"/>
      </w:pPr>
      <w:r/>
      <w:r>
        <w:rPr>
          <w:b/>
        </w:rPr>
        <w:t>Institutional abuse lingered:</w:t>
      </w:r>
      <w:r>
        <w:t xml:space="preserve"> Forced or pressured castrations and tbr placements were presented as “treatment” and caused lasting trauma. </w:t>
      </w:r>
      <w:r/>
    </w:p>
    <w:p>
      <w:pPr>
        <w:pStyle w:val="ListBullet"/>
        <w:spacing w:line="240" w:lineRule="auto"/>
        <w:ind w:left="720"/>
      </w:pPr>
      <w:r/>
      <w:r>
        <w:rPr>
          <w:b/>
        </w:rPr>
        <w:t>Platforms act like institutions:</w:t>
      </w:r>
      <w:r>
        <w:t xml:space="preserve"> Meta and other tech firms now remove queer and abortion-related accounts, shaping what people can see and learn. </w:t>
      </w:r>
      <w:r/>
    </w:p>
    <w:p>
      <w:pPr>
        <w:pStyle w:val="ListBullet"/>
        <w:spacing w:line="240" w:lineRule="auto"/>
        <w:ind w:left="720"/>
      </w:pPr>
      <w:r/>
      <w:r>
        <w:rPr>
          <w:b/>
        </w:rPr>
        <w:t>New legal fights:</w:t>
      </w:r>
      <w:r>
        <w:t xml:space="preserve"> Dutch and European groups are using the Digital Services Act to challenge discriminatory content moderation. </w:t>
      </w:r>
      <w:r/>
    </w:p>
    <w:p>
      <w:pPr>
        <w:pStyle w:val="ListBullet"/>
        <w:spacing w:line="240" w:lineRule="auto"/>
        <w:ind w:left="720"/>
      </w:pPr>
      <w:r/>
      <w:r>
        <w:rPr>
          <w:b/>
        </w:rPr>
        <w:t>Practical worry:</w:t>
      </w:r>
      <w:r>
        <w:t xml:space="preserve"> When visibility disappears online, young people lose safe information and communities , with real mental-health consequences.</w:t>
      </w:r>
      <w:r/>
      <w:r/>
    </w:p>
    <w:p>
      <w:pPr>
        <w:pStyle w:val="Heading2"/>
      </w:pPr>
      <w:r>
        <w:t>How the past echoes: legal and medical systems that punished queer lives</w:t>
      </w:r>
      <w:r/>
    </w:p>
    <w:p>
      <w:r/>
      <w:r>
        <w:t>The sting of institutional violence isn’t only a matter of history, you can still feel its contour in archival records and survivor testimony; the treatment was often brutal and dehumanising, with a clinical tone that barely hid moral panic. For much of the 20th century in the Netherlands, article 248bis treated homosexual contact with slightly older adolescents as a criminal matter, and that legal framing fed prosecutions and psychiatric interventions. Many men were sent into tbr clinics or pressured into chemical or surgical “treatments” that claimed to cure desire. For victims and families, the memories are vivid and lingering.</w:t>
      </w:r>
      <w:r/>
    </w:p>
    <w:p>
      <w:r/>
      <w:r>
        <w:t>Researchers and historians have unpacked how those laws and psychiatric practices functioned: not simply punishing acts but trying to remake people. That context helps explain why contemporary survivors react strongly when new harms , even if they look different , feel like a reprise of state-sanctioned shaming. The lesson here is blunt: institutions can change form but still inflict deep, long-term damage.</w:t>
      </w:r>
      <w:r/>
    </w:p>
    <w:p>
      <w:pPr>
        <w:pStyle w:val="Heading2"/>
      </w:pPr>
      <w:r>
        <w:t>Social media as the new institution: removal, invisibility and exported conservatism</w:t>
      </w:r>
      <w:r/>
    </w:p>
    <w:p>
      <w:r/>
      <w:r>
        <w:t>It’s tempting to think of hate as atomised , lone extremists attacking queer people in the street , but platforms like Meta now behave in ways that mimic institutional censorship. Journalists and watchdogs have documented waves of account removals affecting queer and abortion-advice groups, often with little explanation. That kind of moderation doesn’t just silence individual voices; it flattens the digital ecology and exports narrow cultural assumptions globally.</w:t>
      </w:r>
      <w:r/>
    </w:p>
    <w:p>
      <w:r/>
      <w:r>
        <w:t>Vogue and other cultural commentators have noted the chilling effect: when content about sexuality or queer identity is repeatedly taken down, what remains online tilts conservative and US-centric. For LGBTQ+ youth who turn to the internet to understand their bodies and feelings, those removals are not abstract , they’re a denial of safe information and community.</w:t>
      </w:r>
      <w:r/>
    </w:p>
    <w:p>
      <w:pPr>
        <w:pStyle w:val="Heading2"/>
      </w:pPr>
      <w:r>
        <w:t>Why legal pushback matters: using the Digital Services Act and public pressure</w:t>
      </w:r>
      <w:r/>
    </w:p>
    <w:p>
      <w:r/>
      <w:r>
        <w:t>When the rules of the internet become de facto law, civil society has to step in. That’s exactly what a coalition of Dutch organisations did this year by using the Digital Services Act to challenge Meta’s moderation practices: a test case in which tech-company policy meets European regulation. It’s a sign that the battleground has moved from municipal offices and clinics to courts and policy frameworks that govern platforms.</w:t>
      </w:r>
      <w:r/>
    </w:p>
    <w:p>
      <w:r/>
      <w:r>
        <w:t>This legal fight is practical as much as symbolic. If successful, it could force platforms to be more transparent and accountable about why queer or sex-positive material is removed. For campaigners and users that means more predictable protections and fewer arbitrary takedowns. For parents and educators, it could mean safer online routes for young people to access accurate sexual-health information.</w:t>
      </w:r>
      <w:r/>
    </w:p>
    <w:p>
      <w:pPr>
        <w:pStyle w:val="Heading2"/>
      </w:pPr>
      <w:r>
        <w:t>Choosing safeguards: practical steps for individuals and organisations</w:t>
      </w:r>
      <w:r/>
    </w:p>
    <w:p>
      <w:r/>
      <w:r>
        <w:t>You can’t rely solely on platforms to protect queer content, so take simple steps to reduce risk and preserve access. Back up resources to independent servers, host educational material on community-run sites, and encourage activists to document moderation decisions with screenshots and timestamps. Use platform reporting mechanisms while also building redundancy: newsletters, small-group chats, and local support networks.</w:t>
      </w:r>
      <w:r/>
    </w:p>
    <w:p>
      <w:r/>
      <w:r>
        <w:t>Organisations should push for transparency clauses in terms of service and insist on appeals processes. For individuals, privacy options, anonymised accounts for vulnerability-sensitive work, and diversified platforms will blunt the worst outcomes. These are small, practical ways to shield communities while broader legal and policy fixes proceed.</w:t>
      </w:r>
      <w:r/>
    </w:p>
    <w:p>
      <w:pPr>
        <w:pStyle w:val="Heading2"/>
      </w:pPr>
      <w:r>
        <w:t>What this means going forward: vigilance, solidarity and perspective</w:t>
      </w:r>
      <w:r/>
    </w:p>
    <w:p>
      <w:r/>
      <w:r>
        <w:t>The institutions that governed queer life have evolved, but the need for watchfulness hasn’t diminished. Whether the threat comes from a criminal code, a hospital ward, a hostile street or a moderation queue, the stakes are the same: dignity, the right to information, and the ability to form community. Activists who once campaigned against discriminatory laws are now marshalling tech law and public scrutiny to defend those same freedoms.</w:t>
      </w:r>
      <w:r/>
    </w:p>
    <w:p>
      <w:r/>
      <w:r>
        <w:t>And while legal victories matter, so does ordinary solidarity , friends checking in, libraries keeping physical resources, schools teaching inclusive sex education. It’s a multi-front struggle, but one with a clear aim: make queer lives visible, supported and safe in every realm that shapes us.</w:t>
      </w:r>
      <w:r/>
    </w:p>
    <w:p>
      <w:r/>
      <w:r>
        <w:t>It's a small change in how the threat looks, but a big one in how we must respond.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[7]</w:t>
        </w:r>
      </w:hyperlink>
      <w:r>
        <w:t xml:space="preserve">, </w:t>
      </w:r>
      <w:hyperlink r:id="rId15">
        <w:r>
          <w:rPr>
            <w:color w:val="0000EE"/>
            <w:u w:val="single"/>
          </w:rPr>
          <w:t>[2]</w:t>
        </w:r>
      </w:hyperlink>
      <w:r>
        <w:t xml:space="preserve">- Paragraph 4: </w:t>
      </w:r>
      <w:hyperlink r:id="rId15">
        <w:r>
          <w:rPr>
            <w:color w:val="0000EE"/>
            <w:u w:val="single"/>
          </w:rPr>
          <w:t>[2]</w:t>
        </w:r>
      </w:hyperlink>
      <w:r>
        <w:t xml:space="preserve">, </w:t>
      </w:r>
      <w:hyperlink r:id="rId14">
        <w:r>
          <w:rPr>
            <w:color w:val="0000EE"/>
            <w:u w:val="single"/>
          </w:rPr>
          <w:t>[7]</w:t>
        </w:r>
      </w:hyperlink>
      <w:r>
        <w:t xml:space="preserve">- Paragraph 5: </w:t>
      </w:r>
      <w:hyperlink r:id="rId15">
        <w:r>
          <w:rPr>
            <w:color w:val="0000EE"/>
            <w:u w:val="single"/>
          </w:rPr>
          <w:t>[2]</w:t>
        </w:r>
      </w:hyperlink>
      <w:r>
        <w:t xml:space="preserve">, </w:t>
      </w:r>
      <w:hyperlink r:id="rId12">
        <w:r>
          <w:rPr>
            <w:color w:val="0000EE"/>
            <w:u w:val="single"/>
          </w:rPr>
          <w:t>[3]</w:t>
        </w:r>
      </w:hyperlink>
      <w:r>
        <w:t xml:space="preserve">- Paragraph 6: </w:t>
      </w:r>
      <w:hyperlink r:id="rId11">
        <w:r>
          <w:rPr>
            <w:color w:val="0000EE"/>
            <w:u w:val="single"/>
          </w:rPr>
          <w:t>[6]</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https://www.trouw.nl/opinie/opinie-de-bedreigingen-voor-homo-s-zijn-veranderd-de-strijdlust-niet~bc9e12a0/</w:t>
        </w:r>
      </w:hyperlink>
      <w:r>
        <w:t xml:space="preserve"> - Please view link - unable to able to access data</w:t>
      </w:r>
      <w:r/>
    </w:p>
    <w:p>
      <w:pPr>
        <w:pStyle w:val="ListNumber"/>
        <w:spacing w:line="240" w:lineRule="auto"/>
        <w:ind w:left="720"/>
      </w:pPr>
      <w:r/>
      <w:hyperlink r:id="rId15">
        <w:r>
          <w:rPr>
            <w:color w:val="0000EE"/>
            <w:u w:val="single"/>
          </w:rPr>
          <w:t>https://www.theguardian.com/global-development/2025/dec/11/meta-shuts-down-global-accounts-linked-to-abortion-advice-and-queer-content</w:t>
        </w:r>
      </w:hyperlink>
      <w:r>
        <w:t xml:space="preserve"> - In December 2025, Meta (formerly Facebook) removed or restricted over 50 accounts belonging to abortion access providers, queer groups, and reproductive health organisations worldwide. This action was described as one of the largest waves of censorship on Meta's platforms in years. The takedowns began in October and targeted Facebook, Instagram, and WhatsApp accounts, affecting organisations from Europe, the UK, Asia, Latin America, and the Middle East. Meta stated that these accounts violated platform rules but did not provide specific evidence. (</w:t>
      </w:r>
      <w:hyperlink r:id="rId16">
        <w:r>
          <w:rPr>
            <w:color w:val="0000EE"/>
            <w:u w:val="single"/>
          </w:rPr>
          <w:t>theguardian.com</w:t>
        </w:r>
      </w:hyperlink>
      <w:r>
        <w:t>)</w:t>
      </w:r>
      <w:r/>
    </w:p>
    <w:p>
      <w:pPr>
        <w:pStyle w:val="ListNumber"/>
        <w:spacing w:line="240" w:lineRule="auto"/>
        <w:ind w:left="720"/>
      </w:pPr>
      <w:r/>
      <w:hyperlink r:id="rId12">
        <w:r>
          <w:rPr>
            <w:color w:val="0000EE"/>
            <w:u w:val="single"/>
          </w:rPr>
          <w:t>https://withpride.ihlia.nl/story/artikel-248bis/</w:t>
        </w:r>
      </w:hyperlink>
      <w:r>
        <w:t xml:space="preserve"> - Article 248bis, part of the 1911 Zedelijkheidswet (Morality Act) in the Netherlands, criminalised same-sex sexual contact between adults and individuals aged 16 to 21. This law was discriminatory, as heterosexual sexual contact was permitted with individuals aged 16 and above. The law led to the prosecution of thousands of individuals, with some receiving tbs (terbeschikkingstelling) orders, the precursor to the current tbs. (</w:t>
      </w:r>
      <w:hyperlink r:id="rId17">
        <w:r>
          <w:rPr>
            <w:color w:val="0000EE"/>
            <w:u w:val="single"/>
          </w:rPr>
          <w:t>withpride.ihlia.nl</w:t>
        </w:r>
      </w:hyperlink>
      <w:r>
        <w:t>)</w:t>
      </w:r>
      <w:r/>
    </w:p>
    <w:p>
      <w:pPr>
        <w:pStyle w:val="ListNumber"/>
        <w:spacing w:line="240" w:lineRule="auto"/>
        <w:ind w:left="720"/>
      </w:pPr>
      <w:r/>
      <w:hyperlink r:id="rId10">
        <w:r>
          <w:rPr>
            <w:color w:val="0000EE"/>
            <w:u w:val="single"/>
          </w:rPr>
          <w:t>https://www.queergeschiedenismaand.nl/objecten/zedelijkheidswet-van-1911-met-daarin-artikel-248bis/</w:t>
        </w:r>
      </w:hyperlink>
      <w:r>
        <w:t xml:space="preserve"> - In 1911, the Netherlands introduced the Zedelijkheidswet, which included Article 248bis, making same-sex sexual acts between adults and individuals under 21 years old illegal. This law led to the prosecution of thousands of people. The article was repealed in 1971, but societal discrimination did not cease immediately. (</w:t>
      </w:r>
      <w:hyperlink r:id="rId18">
        <w:r>
          <w:rPr>
            <w:color w:val="0000EE"/>
            <w:u w:val="single"/>
          </w:rPr>
          <w:t>queergeschiedenismaand.nl</w:t>
        </w:r>
      </w:hyperlink>
      <w:r>
        <w:t>)</w:t>
      </w:r>
      <w:r/>
    </w:p>
    <w:p>
      <w:pPr>
        <w:pStyle w:val="ListNumber"/>
        <w:spacing w:line="240" w:lineRule="auto"/>
        <w:ind w:left="720"/>
      </w:pPr>
      <w:r/>
      <w:hyperlink r:id="rId13">
        <w:r>
          <w:rPr>
            <w:color w:val="0000EE"/>
            <w:u w:val="single"/>
          </w:rPr>
          <w:t>https://www.amsterdam.nl/stadsarchief/stukken/misdaad/wet-248bis/</w:t>
        </w:r>
      </w:hyperlink>
      <w:r>
        <w:t xml:space="preserve"> - Article 248bis, introduced in 1911, criminalised same-sex sexual acts between adults and individuals under 21 years old in the Netherlands. This law led to the prosecution of many individuals, including Salomon Lam in 1913. The law was part of a broader trend of increasing moral regulation of sexuality during that period. (</w:t>
      </w:r>
      <w:hyperlink r:id="rId19">
        <w:r>
          <w:rPr>
            <w:color w:val="0000EE"/>
            <w:u w:val="single"/>
          </w:rPr>
          <w:t>amsterdam.nl</w:t>
        </w:r>
      </w:hyperlink>
      <w:r>
        <w:t>)</w:t>
      </w:r>
      <w:r/>
    </w:p>
    <w:p>
      <w:pPr>
        <w:pStyle w:val="ListNumber"/>
        <w:spacing w:line="240" w:lineRule="auto"/>
        <w:ind w:left="720"/>
      </w:pPr>
      <w:r/>
      <w:hyperlink r:id="rId11">
        <w:r>
          <w:rPr>
            <w:color w:val="0000EE"/>
            <w:u w:val="single"/>
          </w:rPr>
          <w:t>https://isgeschiedenis.nl/nieuws/homoseksualiteit-in-de-nederlandse-maatschappij</w:t>
        </w:r>
      </w:hyperlink>
      <w:r>
        <w:t xml:space="preserve"> - Between 1911 and 1971, same-sex sexual acts between individuals under 21 were illegal in the Netherlands. Article 248bis of the Zedelijkheidswet criminalised such acts, leading to the prosecution of approximately 5,000 homosexuals, with the peak in the 1950s. The law was abolished in 1971, and since then, no distinction is made between heterosexual and homosexual acts in Dutch legislation. (</w:t>
      </w:r>
      <w:hyperlink r:id="rId20">
        <w:r>
          <w:rPr>
            <w:color w:val="0000EE"/>
            <w:u w:val="single"/>
          </w:rPr>
          <w:t>isgeschiedenis.nl</w:t>
        </w:r>
      </w:hyperlink>
      <w:r>
        <w:t>)</w:t>
      </w:r>
      <w:r/>
    </w:p>
    <w:p>
      <w:pPr>
        <w:pStyle w:val="ListNumber"/>
        <w:spacing w:line="240" w:lineRule="auto"/>
        <w:ind w:left="720"/>
      </w:pPr>
      <w:r/>
      <w:hyperlink r:id="rId14">
        <w:r>
          <w:rPr>
            <w:color w:val="0000EE"/>
            <w:u w:val="single"/>
          </w:rPr>
          <w:t>https://www.nos.nl/artikel/2594182-meta-blokkeert-tientallen-queer-en-abortus-accounts-zonder-uitleg</w:t>
        </w:r>
      </w:hyperlink>
      <w:r>
        <w:t xml:space="preserve"> - In December 2025, Meta removed or blocked around 50 accounts related to LGBTQIA+ and abortion topics without providing explanations. Among the affected was The Queer Agenda, an Amsterdam-based organisation. Meta stated that these accounts violated platform rules but did not provide specific evidence. (</w:t>
      </w:r>
      <w:hyperlink r:id="rId21">
        <w:r>
          <w:rPr>
            <w:color w:val="0000EE"/>
            <w:u w:val="single"/>
          </w:rPr>
          <w:t>nos.nl</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ouw.nl/opinie/opinie-de-bedreigingen-voor-homo-s-zijn-veranderd-de-strijdlust-niet~bc9e12a0/" TargetMode="External"/><Relationship Id="rId10" Type="http://schemas.openxmlformats.org/officeDocument/2006/relationships/hyperlink" Target="https://www.queergeschiedenismaand.nl/objecten/zedelijkheidswet-van-1911-met-daarin-artikel-248bis/" TargetMode="External"/><Relationship Id="rId11" Type="http://schemas.openxmlformats.org/officeDocument/2006/relationships/hyperlink" Target="https://isgeschiedenis.nl/nieuws/homoseksualiteit-in-de-nederlandse-maatschappij" TargetMode="External"/><Relationship Id="rId12" Type="http://schemas.openxmlformats.org/officeDocument/2006/relationships/hyperlink" Target="https://withpride.ihlia.nl/story/artikel-248bis/" TargetMode="External"/><Relationship Id="rId13" Type="http://schemas.openxmlformats.org/officeDocument/2006/relationships/hyperlink" Target="https://www.amsterdam.nl/stadsarchief/stukken/misdaad/wet-248bis/" TargetMode="External"/><Relationship Id="rId14" Type="http://schemas.openxmlformats.org/officeDocument/2006/relationships/hyperlink" Target="https://www.nos.nl/artikel/2594182-meta-blokkeert-tientallen-queer-en-abortus-accounts-zonder-uitleg" TargetMode="External"/><Relationship Id="rId15" Type="http://schemas.openxmlformats.org/officeDocument/2006/relationships/hyperlink" Target="https://www.theguardian.com/global-development/2025/dec/11/meta-shuts-down-global-accounts-linked-to-abortion-advice-and-queer-content" TargetMode="External"/><Relationship Id="rId16" Type="http://schemas.openxmlformats.org/officeDocument/2006/relationships/hyperlink" Target="https://www.theguardian.com/global-development/2025/dec/11/meta-shuts-down-global-accounts-linked-to-abortion-advice-and-queer-content?utm_source=openai" TargetMode="External"/><Relationship Id="rId17" Type="http://schemas.openxmlformats.org/officeDocument/2006/relationships/hyperlink" Target="https://withpride.ihlia.nl/story/artikel-248bis/?utm_source=openai" TargetMode="External"/><Relationship Id="rId18" Type="http://schemas.openxmlformats.org/officeDocument/2006/relationships/hyperlink" Target="https://www.queergeschiedenismaand.nl/objecten/zedelijkheidswet-van-1911-met-daarin-artikel-248bis/?utm_source=openai" TargetMode="External"/><Relationship Id="rId19" Type="http://schemas.openxmlformats.org/officeDocument/2006/relationships/hyperlink" Target="https://www.amsterdam.nl/stadsarchief/stukken/misdaad/wet-248bis/?utm_source=openai" TargetMode="External"/><Relationship Id="rId20" Type="http://schemas.openxmlformats.org/officeDocument/2006/relationships/hyperlink" Target="https://isgeschiedenis.nl/nieuws/homoseksualiteit-in-de-nederlandse-maatschappij?utm_source=openai" TargetMode="External"/><Relationship Id="rId21" Type="http://schemas.openxmlformats.org/officeDocument/2006/relationships/hyperlink" Target="https://nos.nl/artikel/2594182-meta-blokkeert-tientallen-queer-en-abortus-accounts-zonder-uitleg?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